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85550" w14:textId="72ABD649" w:rsidR="002C3BF3" w:rsidRDefault="002C3BF3" w:rsidP="002D5837">
      <w:pPr>
        <w:tabs>
          <w:tab w:val="left" w:pos="720"/>
        </w:tabs>
        <w:jc w:val="both"/>
        <w:rPr>
          <w:rFonts w:ascii="Calibri" w:hAnsi="Calibri" w:cs="Calibri"/>
          <w:sz w:val="22"/>
          <w:szCs w:val="22"/>
        </w:rPr>
      </w:pPr>
      <w:r w:rsidRPr="46124DE8">
        <w:rPr>
          <w:rFonts w:ascii="Calibri" w:hAnsi="Calibri" w:cs="Calibri"/>
          <w:sz w:val="22"/>
          <w:szCs w:val="22"/>
        </w:rPr>
        <w:t>T</w:t>
      </w:r>
      <w:r w:rsidR="00591741" w:rsidRPr="46124DE8">
        <w:rPr>
          <w:rFonts w:ascii="Calibri" w:hAnsi="Calibri" w:cs="Calibri"/>
          <w:sz w:val="22"/>
          <w:szCs w:val="22"/>
        </w:rPr>
        <w:t>o:</w:t>
      </w:r>
      <w:r w:rsidR="002D5837">
        <w:rPr>
          <w:rFonts w:ascii="Calibri" w:hAnsi="Calibri" w:cs="Calibri"/>
          <w:sz w:val="22"/>
          <w:szCs w:val="22"/>
        </w:rPr>
        <w:tab/>
      </w:r>
      <w:r w:rsidR="1CEE67E9" w:rsidRPr="46124DE8">
        <w:rPr>
          <w:rFonts w:ascii="Calibri" w:hAnsi="Calibri" w:cs="Calibri"/>
          <w:sz w:val="22"/>
          <w:szCs w:val="22"/>
        </w:rPr>
        <w:t xml:space="preserve">Kevin Clark, Chair of the Statutory Accounting Principles (E) Working Group </w:t>
      </w:r>
    </w:p>
    <w:p w14:paraId="3F8EB5BA" w14:textId="77777777" w:rsidR="00166305" w:rsidRDefault="1CEE67E9" w:rsidP="009D586C">
      <w:pPr>
        <w:ind w:firstLine="720"/>
        <w:jc w:val="both"/>
        <w:rPr>
          <w:rFonts w:ascii="Calibri" w:hAnsi="Calibri" w:cs="Calibri"/>
          <w:sz w:val="22"/>
          <w:szCs w:val="22"/>
        </w:rPr>
      </w:pPr>
      <w:r w:rsidRPr="46124DE8">
        <w:rPr>
          <w:rFonts w:ascii="Calibri" w:hAnsi="Calibri" w:cs="Calibri"/>
          <w:sz w:val="22"/>
          <w:szCs w:val="22"/>
        </w:rPr>
        <w:t>Dale Bruggeman, Vice Chair of the Statutory Accounting Principles (E) Working Group</w:t>
      </w:r>
    </w:p>
    <w:p w14:paraId="4100AD7F" w14:textId="77777777" w:rsidR="00632FBD" w:rsidRDefault="00632FBD" w:rsidP="009D586C">
      <w:pPr>
        <w:ind w:firstLine="720"/>
        <w:jc w:val="both"/>
        <w:rPr>
          <w:rFonts w:ascii="Calibri" w:hAnsi="Calibri" w:cs="Calibri"/>
          <w:sz w:val="22"/>
          <w:szCs w:val="22"/>
        </w:rPr>
      </w:pPr>
    </w:p>
    <w:p w14:paraId="0E899E3F" w14:textId="37038C4A" w:rsidR="00591741" w:rsidRDefault="00591741" w:rsidP="009D586C">
      <w:pPr>
        <w:jc w:val="both"/>
        <w:rPr>
          <w:rFonts w:ascii="Calibri" w:hAnsi="Calibri" w:cs="Calibri"/>
          <w:sz w:val="22"/>
          <w:szCs w:val="22"/>
        </w:rPr>
      </w:pPr>
      <w:r w:rsidRPr="46124DE8">
        <w:rPr>
          <w:rFonts w:ascii="Calibri" w:hAnsi="Calibri" w:cs="Calibri"/>
          <w:sz w:val="22"/>
          <w:szCs w:val="22"/>
        </w:rPr>
        <w:t xml:space="preserve">From: </w:t>
      </w:r>
      <w:r>
        <w:tab/>
      </w:r>
      <w:r w:rsidR="47A69D20" w:rsidRPr="46124DE8">
        <w:rPr>
          <w:rFonts w:ascii="Calibri" w:hAnsi="Calibri" w:cs="Calibri"/>
          <w:sz w:val="22"/>
          <w:szCs w:val="22"/>
        </w:rPr>
        <w:t>Carrie Mears, Chair of the Investment Analysis (E) Working Group</w:t>
      </w:r>
    </w:p>
    <w:p w14:paraId="672AC20C" w14:textId="145B9946" w:rsidR="47A69D20" w:rsidRDefault="47A69D20" w:rsidP="009D586C">
      <w:pPr>
        <w:ind w:firstLine="720"/>
        <w:jc w:val="both"/>
        <w:rPr>
          <w:rFonts w:ascii="Calibri" w:hAnsi="Calibri" w:cs="Calibri"/>
          <w:sz w:val="22"/>
          <w:szCs w:val="22"/>
        </w:rPr>
      </w:pPr>
      <w:r w:rsidRPr="46124DE8">
        <w:rPr>
          <w:rFonts w:ascii="Calibri" w:hAnsi="Calibri" w:cs="Calibri"/>
          <w:sz w:val="22"/>
          <w:szCs w:val="22"/>
        </w:rPr>
        <w:t>Matt Cheung, Vice Chair of the Investment Analysis (E) Working Group</w:t>
      </w:r>
    </w:p>
    <w:p w14:paraId="050478BB" w14:textId="77777777" w:rsidR="00E717C6" w:rsidRPr="00E717C6" w:rsidRDefault="00E717C6" w:rsidP="009D586C">
      <w:pPr>
        <w:ind w:firstLine="720"/>
        <w:jc w:val="both"/>
        <w:rPr>
          <w:rFonts w:ascii="Calibri" w:hAnsi="Calibri" w:cs="Calibri"/>
          <w:sz w:val="12"/>
          <w:szCs w:val="12"/>
        </w:rPr>
      </w:pPr>
    </w:p>
    <w:p w14:paraId="7EA94DB0" w14:textId="77777777" w:rsidR="00506BFC" w:rsidRDefault="00591741" w:rsidP="009D586C">
      <w:pPr>
        <w:spacing w:after="120"/>
        <w:ind w:left="720" w:hanging="720"/>
        <w:jc w:val="both"/>
        <w:rPr>
          <w:rFonts w:ascii="Calibri" w:hAnsi="Calibri" w:cs="Calibri"/>
          <w:sz w:val="22"/>
          <w:szCs w:val="22"/>
        </w:rPr>
      </w:pPr>
      <w:r w:rsidRPr="00950BEB">
        <w:rPr>
          <w:rFonts w:ascii="Calibri" w:hAnsi="Calibri" w:cs="Calibri"/>
          <w:sz w:val="22"/>
          <w:szCs w:val="22"/>
        </w:rPr>
        <w:t xml:space="preserve">Re: </w:t>
      </w:r>
      <w:r w:rsidRPr="00950BEB">
        <w:rPr>
          <w:rFonts w:ascii="Calibri" w:hAnsi="Calibri" w:cs="Calibri"/>
          <w:sz w:val="22"/>
          <w:szCs w:val="22"/>
        </w:rPr>
        <w:tab/>
      </w:r>
      <w:r w:rsidR="00506BFC" w:rsidRPr="00506BFC">
        <w:rPr>
          <w:rFonts w:ascii="Calibri" w:hAnsi="Calibri" w:cs="Calibri"/>
          <w:sz w:val="22"/>
          <w:szCs w:val="22"/>
        </w:rPr>
        <w:t>Note 20C Fair Value Hierarchy Disclosures – Consistency, Granularity, and Usability Enhancements</w:t>
      </w:r>
    </w:p>
    <w:p w14:paraId="7B4A093A" w14:textId="74419700" w:rsidR="002F09A5" w:rsidRDefault="712424E9" w:rsidP="009D586C">
      <w:pPr>
        <w:spacing w:after="120"/>
        <w:ind w:left="720" w:hanging="720"/>
        <w:jc w:val="both"/>
        <w:rPr>
          <w:rFonts w:ascii="Calibri" w:hAnsi="Calibri" w:cs="Calibri"/>
          <w:sz w:val="22"/>
          <w:szCs w:val="22"/>
        </w:rPr>
      </w:pPr>
      <w:r w:rsidRPr="6114DF18">
        <w:rPr>
          <w:rFonts w:ascii="Calibri" w:hAnsi="Calibri" w:cs="Calibri"/>
          <w:sz w:val="22"/>
          <w:szCs w:val="22"/>
        </w:rPr>
        <w:t>Date:</w:t>
      </w:r>
      <w:r w:rsidR="4C61F28C">
        <w:tab/>
      </w:r>
      <w:r w:rsidR="08787D38" w:rsidRPr="6114DF18">
        <w:rPr>
          <w:rFonts w:ascii="Calibri" w:hAnsi="Calibri" w:cs="Calibri"/>
          <w:sz w:val="22"/>
          <w:szCs w:val="22"/>
        </w:rPr>
        <w:t xml:space="preserve">July </w:t>
      </w:r>
      <w:r w:rsidR="0530534A" w:rsidRPr="6114DF18">
        <w:rPr>
          <w:rFonts w:ascii="Calibri" w:hAnsi="Calibri" w:cs="Calibri"/>
          <w:sz w:val="22"/>
          <w:szCs w:val="22"/>
        </w:rPr>
        <w:t>27</w:t>
      </w:r>
      <w:r w:rsidR="1865E19F" w:rsidRPr="6114DF18">
        <w:rPr>
          <w:rFonts w:ascii="Calibri" w:hAnsi="Calibri" w:cs="Calibri"/>
          <w:sz w:val="22"/>
          <w:szCs w:val="22"/>
        </w:rPr>
        <w:t>, 202</w:t>
      </w:r>
      <w:r w:rsidR="42BAAC5F" w:rsidRPr="6114DF18">
        <w:rPr>
          <w:rFonts w:ascii="Calibri" w:hAnsi="Calibri" w:cs="Calibri"/>
          <w:sz w:val="22"/>
          <w:szCs w:val="22"/>
        </w:rPr>
        <w:t>6</w:t>
      </w:r>
    </w:p>
    <w:p w14:paraId="01290EE8" w14:textId="1835F2A3" w:rsidR="00436463" w:rsidRDefault="00D33B50" w:rsidP="009D586C">
      <w:pPr>
        <w:spacing w:after="120"/>
        <w:jc w:val="both"/>
        <w:rPr>
          <w:rFonts w:ascii="Calibri" w:hAnsi="Calibri" w:cs="Calibri"/>
          <w:sz w:val="22"/>
          <w:szCs w:val="22"/>
        </w:rPr>
      </w:pPr>
      <w:r w:rsidRPr="00D33B50">
        <w:rPr>
          <w:rFonts w:ascii="Calibri" w:hAnsi="Calibri" w:cs="Calibri"/>
          <w:sz w:val="22"/>
          <w:szCs w:val="22"/>
        </w:rPr>
        <w:t xml:space="preserve">In accordance with its nine-month plan, the Investment Analysis (E) Working Group </w:t>
      </w:r>
      <w:proofErr w:type="gramStart"/>
      <w:r w:rsidR="009672AB">
        <w:rPr>
          <w:rFonts w:ascii="Calibri" w:hAnsi="Calibri" w:cs="Calibri"/>
          <w:sz w:val="22"/>
          <w:szCs w:val="22"/>
        </w:rPr>
        <w:t>is reviewing</w:t>
      </w:r>
      <w:proofErr w:type="gramEnd"/>
      <w:r w:rsidR="009672AB">
        <w:rPr>
          <w:rFonts w:ascii="Calibri" w:hAnsi="Calibri" w:cs="Calibri"/>
          <w:sz w:val="22"/>
          <w:szCs w:val="22"/>
        </w:rPr>
        <w:t xml:space="preserve"> </w:t>
      </w:r>
      <w:r w:rsidRPr="00D33B50">
        <w:rPr>
          <w:rFonts w:ascii="Calibri" w:hAnsi="Calibri" w:cs="Calibri"/>
          <w:sz w:val="22"/>
          <w:szCs w:val="22"/>
        </w:rPr>
        <w:t xml:space="preserve">certain assets that, pursuant to </w:t>
      </w:r>
      <w:r w:rsidRPr="00D33B50">
        <w:rPr>
          <w:rFonts w:ascii="Calibri" w:hAnsi="Calibri" w:cs="Calibri"/>
          <w:i/>
          <w:iCs/>
          <w:sz w:val="22"/>
          <w:szCs w:val="22"/>
        </w:rPr>
        <w:t>SSAP No. 100—Fair Value</w:t>
      </w:r>
      <w:r w:rsidRPr="00D33B50">
        <w:rPr>
          <w:rFonts w:ascii="Calibri" w:hAnsi="Calibri" w:cs="Calibri"/>
          <w:sz w:val="22"/>
          <w:szCs w:val="22"/>
        </w:rPr>
        <w:t xml:space="preserve">, are categorized within the Level 3 classification of the fair value hierarchy. Level 3 assets, in short, are those </w:t>
      </w:r>
      <w:r w:rsidR="00E94BA2">
        <w:rPr>
          <w:rFonts w:ascii="Calibri" w:hAnsi="Calibri" w:cs="Calibri"/>
          <w:sz w:val="22"/>
          <w:szCs w:val="22"/>
        </w:rPr>
        <w:t xml:space="preserve">for which unobservable inputs are used to measure fair value. When observable inputs do exist, the fair value measurement objective remains the same, that is fair value shall represent an exit price from the perspective of a market participant. Therefore, unobservable inputs, or </w:t>
      </w:r>
      <w:r w:rsidRPr="00D33B50">
        <w:rPr>
          <w:rFonts w:ascii="Calibri" w:hAnsi="Calibri" w:cs="Calibri"/>
          <w:sz w:val="22"/>
          <w:szCs w:val="22"/>
        </w:rPr>
        <w:t xml:space="preserve">use of model-based estimates and other non-market observable </w:t>
      </w:r>
      <w:r w:rsidR="00153C1C">
        <w:rPr>
          <w:rFonts w:ascii="Calibri" w:hAnsi="Calibri" w:cs="Calibri"/>
          <w:sz w:val="22"/>
          <w:szCs w:val="22"/>
        </w:rPr>
        <w:t xml:space="preserve">data, </w:t>
      </w:r>
      <w:r w:rsidR="00E94BA2">
        <w:rPr>
          <w:rFonts w:ascii="Calibri" w:hAnsi="Calibri" w:cs="Calibri"/>
          <w:sz w:val="22"/>
          <w:szCs w:val="22"/>
        </w:rPr>
        <w:t xml:space="preserve">shall reflect the entity’s own </w:t>
      </w:r>
      <w:r w:rsidR="00153C1C">
        <w:rPr>
          <w:rFonts w:ascii="Calibri" w:hAnsi="Calibri" w:cs="Calibri"/>
          <w:sz w:val="22"/>
          <w:szCs w:val="22"/>
        </w:rPr>
        <w:t xml:space="preserve">beliefs </w:t>
      </w:r>
      <w:r w:rsidR="00E94BA2">
        <w:rPr>
          <w:rFonts w:ascii="Calibri" w:hAnsi="Calibri" w:cs="Calibri"/>
          <w:sz w:val="22"/>
          <w:szCs w:val="22"/>
        </w:rPr>
        <w:t xml:space="preserve">about the assumptions market participants would use in pricing the asset or liability. The definition is clear that reporting </w:t>
      </w:r>
      <w:r w:rsidR="00BD5DCA">
        <w:rPr>
          <w:rFonts w:ascii="Calibri" w:hAnsi="Calibri" w:cs="Calibri"/>
          <w:sz w:val="22"/>
          <w:szCs w:val="22"/>
        </w:rPr>
        <w:t>entities</w:t>
      </w:r>
      <w:r w:rsidR="00E94BA2">
        <w:rPr>
          <w:rFonts w:ascii="Calibri" w:hAnsi="Calibri" w:cs="Calibri"/>
          <w:sz w:val="22"/>
          <w:szCs w:val="22"/>
        </w:rPr>
        <w:t xml:space="preserve"> shall not ignore information about market participant assumptions that are reasonably available without undue cost and effort</w:t>
      </w:r>
      <w:r w:rsidRPr="00D33B50">
        <w:rPr>
          <w:rFonts w:ascii="Calibri" w:hAnsi="Calibri" w:cs="Calibri"/>
          <w:sz w:val="22"/>
          <w:szCs w:val="22"/>
        </w:rPr>
        <w:t xml:space="preserve">. </w:t>
      </w:r>
    </w:p>
    <w:p w14:paraId="60FEAE09" w14:textId="77777777" w:rsidR="00436463" w:rsidRPr="00436463" w:rsidRDefault="00436463" w:rsidP="00436463">
      <w:pPr>
        <w:spacing w:after="120"/>
        <w:jc w:val="both"/>
        <w:rPr>
          <w:rFonts w:ascii="Calibri" w:hAnsi="Calibri" w:cs="Calibri"/>
          <w:sz w:val="22"/>
          <w:szCs w:val="22"/>
        </w:rPr>
      </w:pPr>
      <w:r w:rsidRPr="00436463">
        <w:rPr>
          <w:rFonts w:ascii="Calibri" w:hAnsi="Calibri" w:cs="Calibri"/>
          <w:sz w:val="22"/>
          <w:szCs w:val="22"/>
        </w:rPr>
        <w:t>While book-adjusted carrying value (BACV) represents the primary measurement basis for assets reported in statutory financial statements, fair value disclosures are required for most investments on an instrument-by-instrument basis, providing regulators with relevant information regarding market valuation. Comparisons between BACV and fair value are also frequently utilized under Statements of Statutory Accounting Principles (SSAPs) in assessing other-than-temporary impairments (OTTI), with realized impairments often resulting in valuation adjustments to then-current fair value.</w:t>
      </w:r>
    </w:p>
    <w:p w14:paraId="2BE2190B" w14:textId="26055B0E" w:rsidR="00D032FF" w:rsidRPr="00436463" w:rsidRDefault="00D032FF" w:rsidP="00436463">
      <w:pPr>
        <w:spacing w:after="120"/>
        <w:jc w:val="both"/>
        <w:rPr>
          <w:rFonts w:ascii="Calibri" w:hAnsi="Calibri" w:cs="Calibri"/>
          <w:sz w:val="22"/>
          <w:szCs w:val="22"/>
        </w:rPr>
      </w:pPr>
      <w:r w:rsidRPr="00D032FF">
        <w:rPr>
          <w:rFonts w:ascii="Calibri" w:hAnsi="Calibri" w:cs="Calibri"/>
          <w:sz w:val="22"/>
          <w:szCs w:val="22"/>
        </w:rPr>
        <w:t>Level 3 assets are of particular interest to state insurance regulators due to their reliance on significant unobservable inputs, limited market activity, and increased use of model-based valuation techniques. These characteristics can result in reduced transparency into valuation methodologies, including the assumptions, inputs, and approaches used by reporting entities to determine fair value. Additionally, because the underlying valuation inputs are less observable, the assessment of changes in economic value and the identification of potential impairment indicators may require greater judgment and complexity. This may create a risk that impairments are not identified or recognized on a timely basis, potentially resulting in more significant valuation adjustments when impairments are ultimately recognized</w:t>
      </w:r>
      <w:r w:rsidR="00097D38">
        <w:rPr>
          <w:rFonts w:ascii="Calibri" w:hAnsi="Calibri" w:cs="Calibri"/>
          <w:sz w:val="22"/>
          <w:szCs w:val="22"/>
        </w:rPr>
        <w:t xml:space="preserve"> (as they were perhaps not recognized incrementally </w:t>
      </w:r>
      <w:r w:rsidR="007876E3">
        <w:rPr>
          <w:rFonts w:ascii="Calibri" w:hAnsi="Calibri" w:cs="Calibri"/>
          <w:sz w:val="22"/>
          <w:szCs w:val="22"/>
        </w:rPr>
        <w:t>over time</w:t>
      </w:r>
      <w:r w:rsidR="00097D38">
        <w:rPr>
          <w:rFonts w:ascii="Calibri" w:hAnsi="Calibri" w:cs="Calibri"/>
          <w:sz w:val="22"/>
          <w:szCs w:val="22"/>
        </w:rPr>
        <w:t>)</w:t>
      </w:r>
      <w:r w:rsidRPr="00D032FF">
        <w:rPr>
          <w:rFonts w:ascii="Calibri" w:hAnsi="Calibri" w:cs="Calibri"/>
          <w:sz w:val="22"/>
          <w:szCs w:val="22"/>
        </w:rPr>
        <w:t>. In contrast, Level 1 and Level 2 assets generally benefit from more observable market inputs or pricing information, which may facilitate earlier identification of changes in value</w:t>
      </w:r>
      <w:r w:rsidR="00CA62D9">
        <w:rPr>
          <w:rFonts w:ascii="Calibri" w:hAnsi="Calibri" w:cs="Calibri"/>
          <w:sz w:val="22"/>
          <w:szCs w:val="22"/>
        </w:rPr>
        <w:t xml:space="preserve"> and timely recognition of impairments</w:t>
      </w:r>
      <w:r w:rsidRPr="00D032FF">
        <w:rPr>
          <w:rFonts w:ascii="Calibri" w:hAnsi="Calibri" w:cs="Calibri"/>
          <w:sz w:val="22"/>
          <w:szCs w:val="22"/>
        </w:rPr>
        <w:t xml:space="preserve">. Coupled with the continued growth of Level 3 holdings across certain sectors of the insurance industry, these factors heighten regulatory focus on valuation consistency, comparability, and the ability to assess underlying economic risk, particularly in less liquid or more </w:t>
      </w:r>
      <w:r w:rsidR="00E71373">
        <w:rPr>
          <w:rFonts w:ascii="Calibri" w:hAnsi="Calibri" w:cs="Calibri"/>
          <w:sz w:val="22"/>
          <w:szCs w:val="22"/>
        </w:rPr>
        <w:t>complex</w:t>
      </w:r>
      <w:r w:rsidRPr="00D032FF">
        <w:rPr>
          <w:rFonts w:ascii="Calibri" w:hAnsi="Calibri" w:cs="Calibri"/>
          <w:sz w:val="22"/>
          <w:szCs w:val="22"/>
        </w:rPr>
        <w:t xml:space="preserve"> asset classes.</w:t>
      </w:r>
    </w:p>
    <w:p w14:paraId="48F10289" w14:textId="2C0A20CE" w:rsidR="00D33B50" w:rsidRPr="005D191D" w:rsidRDefault="00D33B50" w:rsidP="009D586C">
      <w:pPr>
        <w:spacing w:after="120"/>
        <w:jc w:val="both"/>
        <w:rPr>
          <w:rFonts w:asciiTheme="minorHAnsi" w:hAnsiTheme="minorHAnsi" w:cstheme="minorHAnsi"/>
          <w:sz w:val="22"/>
          <w:szCs w:val="22"/>
        </w:rPr>
      </w:pPr>
      <w:r w:rsidRPr="005D191D">
        <w:rPr>
          <w:rFonts w:asciiTheme="minorHAnsi" w:hAnsiTheme="minorHAnsi" w:cstheme="minorHAnsi"/>
          <w:sz w:val="22"/>
          <w:szCs w:val="22"/>
        </w:rPr>
        <w:t xml:space="preserve">These valuation characteristics underscore the importance of consistent and comparable disclosure of fair value measurements across reporting entities. </w:t>
      </w:r>
      <w:r w:rsidR="00702CBD" w:rsidRPr="005D191D">
        <w:rPr>
          <w:rFonts w:asciiTheme="minorHAnsi" w:hAnsiTheme="minorHAnsi" w:cstheme="minorHAnsi"/>
          <w:sz w:val="22"/>
          <w:szCs w:val="22"/>
        </w:rPr>
        <w:t>They</w:t>
      </w:r>
      <w:r w:rsidRPr="005D191D">
        <w:rPr>
          <w:rFonts w:asciiTheme="minorHAnsi" w:hAnsiTheme="minorHAnsi" w:cstheme="minorHAnsi"/>
          <w:sz w:val="22"/>
          <w:szCs w:val="22"/>
        </w:rPr>
        <w:t xml:space="preserve"> are directly relevant to the broader fair value disclosure framework, including Note 20C reporting requirements, which serve as a mechanism for conveying valuation hierarchy classification</w:t>
      </w:r>
      <w:r w:rsidR="00A36E34">
        <w:rPr>
          <w:rFonts w:asciiTheme="minorHAnsi" w:hAnsiTheme="minorHAnsi" w:cstheme="minorHAnsi"/>
          <w:sz w:val="22"/>
          <w:szCs w:val="22"/>
        </w:rPr>
        <w:t xml:space="preserve"> in aggregate by financial instrument classifications</w:t>
      </w:r>
      <w:r w:rsidR="00894420" w:rsidRPr="005D191D">
        <w:rPr>
          <w:rFonts w:asciiTheme="minorHAnsi" w:hAnsiTheme="minorHAnsi" w:cstheme="minorHAnsi"/>
          <w:sz w:val="22"/>
          <w:szCs w:val="22"/>
        </w:rPr>
        <w:t>.</w:t>
      </w:r>
      <w:r w:rsidRPr="005D191D">
        <w:rPr>
          <w:rFonts w:asciiTheme="minorHAnsi" w:hAnsiTheme="minorHAnsi" w:cstheme="minorHAnsi"/>
          <w:sz w:val="22"/>
          <w:szCs w:val="22"/>
        </w:rPr>
        <w:t xml:space="preserve"> While these disclosures are intended to enhance transparency regarding fair value measurement and classification, current reporting practice has revealed significant variability in structure, granularity, and usability across reporting entities.</w:t>
      </w:r>
    </w:p>
    <w:p w14:paraId="16350F92" w14:textId="77777777" w:rsidR="00A75A18" w:rsidRDefault="00A75A18" w:rsidP="009D586C">
      <w:pPr>
        <w:spacing w:after="120"/>
        <w:jc w:val="both"/>
        <w:rPr>
          <w:rFonts w:asciiTheme="minorHAnsi" w:hAnsiTheme="minorHAnsi" w:cstheme="minorHAnsi"/>
          <w:sz w:val="22"/>
          <w:szCs w:val="22"/>
        </w:rPr>
      </w:pPr>
    </w:p>
    <w:p w14:paraId="5D30B24D" w14:textId="1B042B33" w:rsidR="00D61C44" w:rsidRPr="005D191D" w:rsidRDefault="00D61C44" w:rsidP="002D5837">
      <w:pPr>
        <w:keepNext/>
        <w:spacing w:after="120"/>
        <w:jc w:val="both"/>
        <w:rPr>
          <w:rFonts w:asciiTheme="minorHAnsi" w:hAnsiTheme="minorHAnsi" w:cstheme="minorHAnsi"/>
          <w:sz w:val="22"/>
          <w:szCs w:val="22"/>
        </w:rPr>
      </w:pPr>
      <w:r w:rsidRPr="005D191D">
        <w:rPr>
          <w:rFonts w:asciiTheme="minorHAnsi" w:hAnsiTheme="minorHAnsi" w:cstheme="minorHAnsi"/>
          <w:sz w:val="22"/>
          <w:szCs w:val="22"/>
        </w:rPr>
        <w:lastRenderedPageBreak/>
        <w:t>In particular, the Working Group notes the following observations:</w:t>
      </w:r>
    </w:p>
    <w:p w14:paraId="45BBABF7" w14:textId="2CC93A86" w:rsidR="00180BF7" w:rsidRDefault="00D61C44" w:rsidP="002D5837">
      <w:pPr>
        <w:pStyle w:val="ListParagraph"/>
        <w:keepNext/>
        <w:numPr>
          <w:ilvl w:val="0"/>
          <w:numId w:val="32"/>
        </w:numPr>
        <w:ind w:left="360"/>
        <w:jc w:val="both"/>
        <w:rPr>
          <w:rFonts w:asciiTheme="minorHAnsi" w:hAnsiTheme="minorHAnsi" w:cstheme="minorHAnsi"/>
          <w:sz w:val="22"/>
          <w:szCs w:val="22"/>
        </w:rPr>
      </w:pPr>
      <w:r w:rsidRPr="005D191D">
        <w:rPr>
          <w:rFonts w:asciiTheme="minorHAnsi" w:hAnsiTheme="minorHAnsi" w:cstheme="minorHAnsi"/>
          <w:sz w:val="22"/>
          <w:szCs w:val="22"/>
        </w:rPr>
        <w:t xml:space="preserve">Note 20C is a free-form disclosure that does not require alignment to other investment schedules or standardized reporting structures. As a result, reporting entities </w:t>
      </w:r>
      <w:r w:rsidR="00A36E34">
        <w:rPr>
          <w:rFonts w:asciiTheme="minorHAnsi" w:hAnsiTheme="minorHAnsi" w:cstheme="minorHAnsi"/>
          <w:sz w:val="22"/>
          <w:szCs w:val="22"/>
        </w:rPr>
        <w:t xml:space="preserve">are permitted to aggregate investments into different financial instrument classifications, which results </w:t>
      </w:r>
      <w:r w:rsidR="0017648C">
        <w:rPr>
          <w:rFonts w:asciiTheme="minorHAnsi" w:hAnsiTheme="minorHAnsi" w:cstheme="minorHAnsi"/>
          <w:sz w:val="22"/>
          <w:szCs w:val="22"/>
        </w:rPr>
        <w:t xml:space="preserve">in </w:t>
      </w:r>
      <w:r w:rsidRPr="005D191D">
        <w:rPr>
          <w:rFonts w:asciiTheme="minorHAnsi" w:hAnsiTheme="minorHAnsi" w:cstheme="minorHAnsi"/>
          <w:sz w:val="22"/>
          <w:szCs w:val="22"/>
        </w:rPr>
        <w:t>information in significantly different formats, limiting comparability across insurers.</w:t>
      </w:r>
      <w:r w:rsidR="005D191D" w:rsidRPr="005D191D">
        <w:rPr>
          <w:rFonts w:asciiTheme="minorHAnsi" w:hAnsiTheme="minorHAnsi" w:cstheme="minorHAnsi"/>
          <w:sz w:val="22"/>
          <w:szCs w:val="22"/>
        </w:rPr>
        <w:t xml:space="preserve"> </w:t>
      </w:r>
      <w:r w:rsidRPr="005D191D">
        <w:rPr>
          <w:rFonts w:asciiTheme="minorHAnsi" w:hAnsiTheme="minorHAnsi" w:cstheme="minorHAnsi"/>
          <w:sz w:val="22"/>
          <w:szCs w:val="22"/>
        </w:rPr>
        <w:t>Disclosures may range from highly granular, security-by-security listings of issuer credit obligations to broad aggregations at the issuer, investment category, or asset-backed security (ABS) level, reducing consistency in presentation and interpretability</w:t>
      </w:r>
      <w:r w:rsidR="002C451C" w:rsidRPr="005D191D">
        <w:rPr>
          <w:rFonts w:asciiTheme="minorHAnsi" w:hAnsiTheme="minorHAnsi" w:cstheme="minorHAnsi"/>
          <w:sz w:val="22"/>
          <w:szCs w:val="22"/>
        </w:rPr>
        <w:t>.</w:t>
      </w:r>
      <w:r w:rsidR="00211B1B" w:rsidRPr="005D191D">
        <w:rPr>
          <w:rFonts w:asciiTheme="minorHAnsi" w:hAnsiTheme="minorHAnsi" w:cstheme="minorHAnsi"/>
          <w:sz w:val="22"/>
          <w:szCs w:val="22"/>
        </w:rPr>
        <w:t xml:space="preserve"> Current reporting observations indicate that some insurers may include several dozen pages of detailed listings, while others provide highly summarized tables, creating significant variation in both volume and format of disclosure. For the 2025 reporting period, certain reporting entities have disclosed </w:t>
      </w:r>
      <w:proofErr w:type="gramStart"/>
      <w:r w:rsidR="00211B1B" w:rsidRPr="005D191D">
        <w:rPr>
          <w:rFonts w:asciiTheme="minorHAnsi" w:hAnsiTheme="minorHAnsi" w:cstheme="minorHAnsi"/>
          <w:sz w:val="22"/>
          <w:szCs w:val="22"/>
        </w:rPr>
        <w:t>in excess of</w:t>
      </w:r>
      <w:proofErr w:type="gramEnd"/>
      <w:r w:rsidR="00211B1B" w:rsidRPr="005D191D">
        <w:rPr>
          <w:rFonts w:asciiTheme="minorHAnsi" w:hAnsiTheme="minorHAnsi" w:cstheme="minorHAnsi"/>
          <w:sz w:val="22"/>
          <w:szCs w:val="22"/>
        </w:rPr>
        <w:t xml:space="preserve"> 2,500 individual entries within Note 20C, highlighting the potential for this disclosure to become excessively voluminous and operationally burdensome without enhancing comparability. Thus</w:t>
      </w:r>
      <w:r w:rsidR="00BF3679" w:rsidRPr="005D191D">
        <w:rPr>
          <w:rFonts w:asciiTheme="minorHAnsi" w:hAnsiTheme="minorHAnsi" w:cstheme="minorHAnsi"/>
          <w:sz w:val="22"/>
          <w:szCs w:val="22"/>
        </w:rPr>
        <w:t>,</w:t>
      </w:r>
      <w:r w:rsidR="00211B1B" w:rsidRPr="005D191D">
        <w:rPr>
          <w:rFonts w:asciiTheme="minorHAnsi" w:hAnsiTheme="minorHAnsi" w:cstheme="minorHAnsi"/>
          <w:sz w:val="22"/>
          <w:szCs w:val="22"/>
        </w:rPr>
        <w:t xml:space="preserve"> in its current form</w:t>
      </w:r>
      <w:r w:rsidR="00A36E34">
        <w:rPr>
          <w:rFonts w:asciiTheme="minorHAnsi" w:hAnsiTheme="minorHAnsi" w:cstheme="minorHAnsi"/>
          <w:sz w:val="22"/>
          <w:szCs w:val="22"/>
        </w:rPr>
        <w:t xml:space="preserve"> for some reporting entities</w:t>
      </w:r>
      <w:r w:rsidR="00211B1B" w:rsidRPr="005D191D">
        <w:rPr>
          <w:rFonts w:asciiTheme="minorHAnsi" w:hAnsiTheme="minorHAnsi" w:cstheme="minorHAnsi"/>
          <w:sz w:val="22"/>
          <w:szCs w:val="22"/>
        </w:rPr>
        <w:t xml:space="preserve">, </w:t>
      </w:r>
      <w:proofErr w:type="gramStart"/>
      <w:r w:rsidR="00211B1B" w:rsidRPr="005D191D">
        <w:rPr>
          <w:rFonts w:asciiTheme="minorHAnsi" w:hAnsiTheme="minorHAnsi" w:cstheme="minorHAnsi"/>
          <w:sz w:val="22"/>
          <w:szCs w:val="22"/>
        </w:rPr>
        <w:t>Note</w:t>
      </w:r>
      <w:proofErr w:type="gramEnd"/>
      <w:r w:rsidR="00211B1B" w:rsidRPr="005D191D">
        <w:rPr>
          <w:rFonts w:asciiTheme="minorHAnsi" w:hAnsiTheme="minorHAnsi" w:cstheme="minorHAnsi"/>
          <w:sz w:val="22"/>
          <w:szCs w:val="22"/>
        </w:rPr>
        <w:t xml:space="preserve"> 20C may be functionally comparable in size and complexity to primary investment schedules, without providing equivalent analytical clarity or standardized drill-down capability across reporting entities.</w:t>
      </w:r>
      <w:r w:rsidR="00CE1603">
        <w:rPr>
          <w:rFonts w:asciiTheme="minorHAnsi" w:hAnsiTheme="minorHAnsi" w:cstheme="minorHAnsi"/>
          <w:sz w:val="22"/>
          <w:szCs w:val="22"/>
        </w:rPr>
        <w:t xml:space="preserve"> </w:t>
      </w:r>
    </w:p>
    <w:p w14:paraId="61CFD61F" w14:textId="77777777" w:rsidR="00180BF7" w:rsidRDefault="00180BF7" w:rsidP="009D586C">
      <w:pPr>
        <w:pStyle w:val="ListParagraph"/>
        <w:ind w:left="0"/>
        <w:jc w:val="both"/>
        <w:rPr>
          <w:rFonts w:asciiTheme="minorHAnsi" w:hAnsiTheme="minorHAnsi" w:cstheme="minorHAnsi"/>
          <w:sz w:val="22"/>
          <w:szCs w:val="22"/>
        </w:rPr>
      </w:pPr>
    </w:p>
    <w:p w14:paraId="10C6B7D5" w14:textId="658CDF4B" w:rsidR="002C451C" w:rsidRPr="005D191D" w:rsidRDefault="00B65098" w:rsidP="009D586C">
      <w:pPr>
        <w:pStyle w:val="ListParagraph"/>
        <w:numPr>
          <w:ilvl w:val="0"/>
          <w:numId w:val="31"/>
        </w:numPr>
        <w:ind w:left="360"/>
        <w:jc w:val="both"/>
      </w:pPr>
      <w:r w:rsidRPr="00180BF7">
        <w:rPr>
          <w:rFonts w:asciiTheme="minorHAnsi" w:hAnsiTheme="minorHAnsi" w:cstheme="minorHAnsi"/>
          <w:sz w:val="22"/>
          <w:szCs w:val="22"/>
        </w:rPr>
        <w:t>The current structure introduces risks of data quality inconsistency, including typographical variation in security descriptions, inconsistent naming conventions across reporting periods, and limited ability to reliably track changes in classification year-over-year.</w:t>
      </w:r>
    </w:p>
    <w:p w14:paraId="328728EB" w14:textId="77777777" w:rsidR="002C451C" w:rsidRPr="005D191D" w:rsidRDefault="002C451C" w:rsidP="009D586C">
      <w:pPr>
        <w:pStyle w:val="ListParagraph"/>
        <w:ind w:left="360"/>
        <w:jc w:val="both"/>
        <w:rPr>
          <w:rFonts w:asciiTheme="minorHAnsi" w:hAnsiTheme="minorHAnsi" w:cstheme="minorHAnsi"/>
          <w:sz w:val="22"/>
          <w:szCs w:val="22"/>
        </w:rPr>
      </w:pPr>
    </w:p>
    <w:p w14:paraId="05356CCC" w14:textId="3A04A8C3" w:rsidR="00393512" w:rsidRPr="005D191D" w:rsidRDefault="00393512" w:rsidP="00254A93">
      <w:pPr>
        <w:pStyle w:val="ListParagraph"/>
        <w:numPr>
          <w:ilvl w:val="0"/>
          <w:numId w:val="31"/>
        </w:numPr>
        <w:ind w:left="360"/>
        <w:jc w:val="both"/>
        <w:rPr>
          <w:rFonts w:asciiTheme="minorHAnsi" w:hAnsiTheme="minorHAnsi" w:cstheme="minorHAnsi"/>
          <w:sz w:val="22"/>
          <w:szCs w:val="22"/>
        </w:rPr>
      </w:pPr>
      <w:r w:rsidRPr="005D191D">
        <w:rPr>
          <w:rFonts w:asciiTheme="minorHAnsi" w:hAnsiTheme="minorHAnsi" w:cstheme="minorHAnsi"/>
          <w:sz w:val="22"/>
          <w:szCs w:val="22"/>
        </w:rPr>
        <w:t xml:space="preserve">The absence of a standardized mapping framework to underlying investment schedules limits the ability to efficiently trace Note 20C disclosures to existing statutory reporting lines, including </w:t>
      </w:r>
      <w:r w:rsidR="00A36E34" w:rsidRPr="00B97FD4">
        <w:rPr>
          <w:rFonts w:ascii="Calibri" w:hAnsi="Calibri" w:cs="Calibri"/>
          <w:i/>
          <w:iCs/>
          <w:sz w:val="22"/>
          <w:szCs w:val="22"/>
        </w:rPr>
        <w:t>Schedule B</w:t>
      </w:r>
      <w:r w:rsidR="00015F79">
        <w:rPr>
          <w:rFonts w:ascii="Calibri" w:hAnsi="Calibri" w:cs="Calibri"/>
          <w:i/>
          <w:iCs/>
          <w:sz w:val="22"/>
          <w:szCs w:val="22"/>
        </w:rPr>
        <w:t>A</w:t>
      </w:r>
      <w:r w:rsidR="00A36E34" w:rsidRPr="00B97FD4">
        <w:rPr>
          <w:rFonts w:ascii="Calibri" w:hAnsi="Calibri" w:cs="Calibri"/>
          <w:i/>
          <w:iCs/>
          <w:sz w:val="22"/>
          <w:szCs w:val="22"/>
        </w:rPr>
        <w:t>—</w:t>
      </w:r>
      <w:r w:rsidR="00015F79">
        <w:rPr>
          <w:rFonts w:ascii="Calibri" w:hAnsi="Calibri" w:cs="Calibri"/>
          <w:i/>
          <w:iCs/>
          <w:sz w:val="22"/>
          <w:szCs w:val="22"/>
        </w:rPr>
        <w:t>Other Long</w:t>
      </w:r>
      <w:r w:rsidR="00111DB8">
        <w:rPr>
          <w:rFonts w:ascii="Calibri" w:hAnsi="Calibri" w:cs="Calibri"/>
          <w:i/>
          <w:iCs/>
          <w:sz w:val="22"/>
          <w:szCs w:val="22"/>
        </w:rPr>
        <w:t>-</w:t>
      </w:r>
      <w:r w:rsidR="00015F79">
        <w:rPr>
          <w:rFonts w:ascii="Calibri" w:hAnsi="Calibri" w:cs="Calibri"/>
          <w:i/>
          <w:iCs/>
          <w:sz w:val="22"/>
          <w:szCs w:val="22"/>
        </w:rPr>
        <w:t>Term Invested Assets</w:t>
      </w:r>
      <w:r w:rsidR="008C2945">
        <w:rPr>
          <w:rFonts w:ascii="Calibri" w:hAnsi="Calibri" w:cs="Calibri"/>
          <w:sz w:val="22"/>
          <w:szCs w:val="22"/>
        </w:rPr>
        <w:t xml:space="preserve"> and</w:t>
      </w:r>
      <w:r w:rsidR="00A36E34" w:rsidRPr="00B97FD4">
        <w:rPr>
          <w:rFonts w:ascii="Calibri" w:hAnsi="Calibri" w:cs="Calibri"/>
          <w:sz w:val="22"/>
          <w:szCs w:val="22"/>
        </w:rPr>
        <w:t xml:space="preserve"> </w:t>
      </w:r>
      <w:r w:rsidR="00A36E34" w:rsidRPr="00B97FD4">
        <w:rPr>
          <w:rFonts w:ascii="Calibri" w:hAnsi="Calibri" w:cs="Calibri"/>
          <w:i/>
          <w:iCs/>
          <w:sz w:val="22"/>
          <w:szCs w:val="22"/>
        </w:rPr>
        <w:t>Schedule D—Bonds</w:t>
      </w:r>
      <w:r w:rsidR="000704BD">
        <w:rPr>
          <w:rFonts w:ascii="Calibri" w:hAnsi="Calibri" w:cs="Calibri"/>
          <w:i/>
          <w:iCs/>
          <w:sz w:val="22"/>
          <w:szCs w:val="22"/>
        </w:rPr>
        <w:t xml:space="preserve"> and Stocks</w:t>
      </w:r>
      <w:r w:rsidRPr="005D191D">
        <w:rPr>
          <w:rFonts w:asciiTheme="minorHAnsi" w:hAnsiTheme="minorHAnsi" w:cstheme="minorHAnsi"/>
          <w:sz w:val="22"/>
          <w:szCs w:val="22"/>
        </w:rPr>
        <w:t>, and may reduce the usefulness of the disclosure for regulatory analysis.</w:t>
      </w:r>
    </w:p>
    <w:p w14:paraId="1699F013" w14:textId="77777777" w:rsidR="002C451C" w:rsidRPr="005D191D" w:rsidRDefault="002C451C" w:rsidP="00254A93">
      <w:pPr>
        <w:jc w:val="both"/>
      </w:pPr>
    </w:p>
    <w:p w14:paraId="6C2B6F65" w14:textId="3AF4EFD7" w:rsidR="00D61C44" w:rsidRPr="005D191D" w:rsidRDefault="00D61C44" w:rsidP="00254A93">
      <w:pPr>
        <w:jc w:val="both"/>
        <w:rPr>
          <w:rFonts w:asciiTheme="minorHAnsi" w:hAnsiTheme="minorHAnsi" w:cstheme="minorHAnsi"/>
          <w:sz w:val="22"/>
          <w:szCs w:val="22"/>
        </w:rPr>
      </w:pPr>
      <w:r w:rsidRPr="005D191D">
        <w:rPr>
          <w:rFonts w:asciiTheme="minorHAnsi" w:hAnsiTheme="minorHAnsi" w:cstheme="minorHAnsi"/>
          <w:sz w:val="22"/>
          <w:szCs w:val="22"/>
        </w:rPr>
        <w:t xml:space="preserve">Taken together, these limitations may reduce the effectiveness of Note 20C as a comparative regulatory tool, particularly in its ability to support consistent cross-entity analysis of fair value hierarchy classifications and underlying investment exposures. The </w:t>
      </w:r>
      <w:r w:rsidR="008B048C">
        <w:rPr>
          <w:rFonts w:asciiTheme="minorHAnsi" w:hAnsiTheme="minorHAnsi" w:cstheme="minorHAnsi"/>
          <w:sz w:val="22"/>
          <w:szCs w:val="22"/>
        </w:rPr>
        <w:t xml:space="preserve">current </w:t>
      </w:r>
      <w:r w:rsidRPr="005D191D">
        <w:rPr>
          <w:rFonts w:asciiTheme="minorHAnsi" w:hAnsiTheme="minorHAnsi" w:cstheme="minorHAnsi"/>
          <w:sz w:val="22"/>
          <w:szCs w:val="22"/>
        </w:rPr>
        <w:t xml:space="preserve">variability in structure and granularity may also </w:t>
      </w:r>
      <w:r w:rsidR="008B048C">
        <w:rPr>
          <w:rFonts w:asciiTheme="minorHAnsi" w:hAnsiTheme="minorHAnsi" w:cstheme="minorHAnsi"/>
          <w:sz w:val="22"/>
          <w:szCs w:val="22"/>
        </w:rPr>
        <w:t>cause</w:t>
      </w:r>
      <w:r w:rsidR="008B048C" w:rsidRPr="005D191D">
        <w:rPr>
          <w:rFonts w:asciiTheme="minorHAnsi" w:hAnsiTheme="minorHAnsi" w:cstheme="minorHAnsi"/>
          <w:sz w:val="22"/>
          <w:szCs w:val="22"/>
        </w:rPr>
        <w:t xml:space="preserve"> </w:t>
      </w:r>
      <w:r w:rsidRPr="005D191D">
        <w:rPr>
          <w:rFonts w:asciiTheme="minorHAnsi" w:hAnsiTheme="minorHAnsi" w:cstheme="minorHAnsi"/>
          <w:sz w:val="22"/>
          <w:szCs w:val="22"/>
        </w:rPr>
        <w:t xml:space="preserve">additional supervisory </w:t>
      </w:r>
      <w:r w:rsidR="008B048C">
        <w:rPr>
          <w:rFonts w:asciiTheme="minorHAnsi" w:hAnsiTheme="minorHAnsi" w:cstheme="minorHAnsi"/>
          <w:sz w:val="22"/>
          <w:szCs w:val="22"/>
        </w:rPr>
        <w:t xml:space="preserve">and reporting </w:t>
      </w:r>
      <w:r w:rsidRPr="005D191D">
        <w:rPr>
          <w:rFonts w:asciiTheme="minorHAnsi" w:hAnsiTheme="minorHAnsi" w:cstheme="minorHAnsi"/>
          <w:sz w:val="22"/>
          <w:szCs w:val="22"/>
        </w:rPr>
        <w:t>burden, as regulators may be required to perform entity-specific reconciliation efforts to achieve a consistent analytical view across reporting entities.</w:t>
      </w:r>
      <w:r w:rsidR="00A61DB4" w:rsidRPr="005D191D">
        <w:rPr>
          <w:rFonts w:asciiTheme="minorHAnsi" w:hAnsiTheme="minorHAnsi" w:cstheme="minorHAnsi"/>
          <w:sz w:val="22"/>
          <w:szCs w:val="22"/>
        </w:rPr>
        <w:t xml:space="preserve"> </w:t>
      </w:r>
      <w:r w:rsidRPr="005D191D">
        <w:rPr>
          <w:rFonts w:asciiTheme="minorHAnsi" w:hAnsiTheme="minorHAnsi" w:cstheme="minorHAnsi"/>
          <w:sz w:val="22"/>
          <w:szCs w:val="22"/>
        </w:rPr>
        <w:t>These observations highlight potential concerns related to usability, traceability, and comparability of Note 20C disclosures across the industry.</w:t>
      </w:r>
    </w:p>
    <w:p w14:paraId="595D6BED" w14:textId="3E2608E4" w:rsidR="00D61C44" w:rsidRPr="005D191D" w:rsidRDefault="00D61C44" w:rsidP="009D586C">
      <w:pPr>
        <w:spacing w:after="120"/>
        <w:jc w:val="both"/>
        <w:rPr>
          <w:rFonts w:asciiTheme="minorHAnsi" w:hAnsiTheme="minorHAnsi" w:cstheme="minorHAnsi"/>
          <w:sz w:val="22"/>
          <w:szCs w:val="22"/>
        </w:rPr>
      </w:pPr>
      <w:r w:rsidRPr="005D191D">
        <w:rPr>
          <w:rFonts w:asciiTheme="minorHAnsi" w:hAnsiTheme="minorHAnsi" w:cstheme="minorHAnsi"/>
          <w:sz w:val="22"/>
          <w:szCs w:val="22"/>
        </w:rPr>
        <w:t xml:space="preserve">Accordingly, the Working Group notes that enhancements to structure and standardization may improve regulatory utility and consistency. </w:t>
      </w:r>
      <w:r w:rsidR="004B0372" w:rsidRPr="005D191D">
        <w:rPr>
          <w:rFonts w:asciiTheme="minorHAnsi" w:hAnsiTheme="minorHAnsi" w:cstheme="minorHAnsi"/>
          <w:sz w:val="22"/>
          <w:szCs w:val="22"/>
        </w:rPr>
        <w:t>Consideration</w:t>
      </w:r>
      <w:r w:rsidRPr="005D191D">
        <w:rPr>
          <w:rFonts w:asciiTheme="minorHAnsi" w:hAnsiTheme="minorHAnsi" w:cstheme="minorHAnsi"/>
          <w:sz w:val="22"/>
          <w:szCs w:val="22"/>
        </w:rPr>
        <w:t xml:space="preserve"> could be given to whether more prescriptive linkage to existing statutory investment schedules may improve usability and reduce reporting variability.</w:t>
      </w:r>
    </w:p>
    <w:p w14:paraId="233518DF" w14:textId="77777777" w:rsidR="00B97FD4" w:rsidRPr="005D191D" w:rsidRDefault="00D61C44" w:rsidP="009D586C">
      <w:pPr>
        <w:spacing w:after="120"/>
        <w:ind w:left="720" w:hanging="720"/>
        <w:jc w:val="both"/>
        <w:rPr>
          <w:rFonts w:asciiTheme="minorHAnsi" w:hAnsiTheme="minorHAnsi" w:cstheme="minorHAnsi"/>
          <w:sz w:val="22"/>
          <w:szCs w:val="22"/>
        </w:rPr>
      </w:pPr>
      <w:r w:rsidRPr="005D191D">
        <w:rPr>
          <w:rFonts w:asciiTheme="minorHAnsi" w:hAnsiTheme="minorHAnsi" w:cstheme="minorHAnsi"/>
          <w:sz w:val="22"/>
          <w:szCs w:val="22"/>
        </w:rPr>
        <w:t>Potential areas for consideration include:</w:t>
      </w:r>
    </w:p>
    <w:p w14:paraId="5FF87E01" w14:textId="5DC52969" w:rsidR="00B97FD4" w:rsidRDefault="00D61C44" w:rsidP="009D586C">
      <w:pPr>
        <w:pStyle w:val="ListParagraph"/>
        <w:numPr>
          <w:ilvl w:val="0"/>
          <w:numId w:val="29"/>
        </w:numPr>
        <w:spacing w:after="120"/>
        <w:jc w:val="both"/>
        <w:rPr>
          <w:rFonts w:ascii="Calibri" w:hAnsi="Calibri" w:cs="Calibri"/>
          <w:sz w:val="22"/>
          <w:szCs w:val="22"/>
        </w:rPr>
      </w:pPr>
      <w:r w:rsidRPr="00B97FD4">
        <w:rPr>
          <w:rFonts w:ascii="Calibri" w:hAnsi="Calibri" w:cs="Calibri"/>
          <w:sz w:val="22"/>
          <w:szCs w:val="22"/>
        </w:rPr>
        <w:t xml:space="preserve">Development of standardized mapping requirements between Note 20C disclosures and existing investment schedules, including clear alignment to </w:t>
      </w:r>
      <w:r w:rsidRPr="00A36E34">
        <w:rPr>
          <w:rFonts w:ascii="Calibri" w:hAnsi="Calibri" w:cs="Calibri"/>
          <w:sz w:val="22"/>
          <w:szCs w:val="22"/>
        </w:rPr>
        <w:t>Schedule B</w:t>
      </w:r>
      <w:r w:rsidR="001A2B21">
        <w:rPr>
          <w:rFonts w:ascii="Calibri" w:hAnsi="Calibri" w:cs="Calibri"/>
          <w:sz w:val="22"/>
          <w:szCs w:val="22"/>
        </w:rPr>
        <w:t>A</w:t>
      </w:r>
      <w:r w:rsidRPr="00A36E34">
        <w:rPr>
          <w:rFonts w:ascii="Calibri" w:hAnsi="Calibri" w:cs="Calibri"/>
          <w:sz w:val="22"/>
          <w:szCs w:val="22"/>
        </w:rPr>
        <w:t>, Schedule D</w:t>
      </w:r>
      <w:r w:rsidRPr="00B97FD4">
        <w:rPr>
          <w:rFonts w:ascii="Calibri" w:hAnsi="Calibri" w:cs="Calibri"/>
          <w:sz w:val="22"/>
          <w:szCs w:val="22"/>
        </w:rPr>
        <w:t>, and other relevant investment reporting schedules, as applicable.</w:t>
      </w:r>
    </w:p>
    <w:p w14:paraId="4010D8B1" w14:textId="77777777" w:rsidR="00B97FD4" w:rsidRDefault="00B97FD4" w:rsidP="009D586C">
      <w:pPr>
        <w:pStyle w:val="ListParagraph"/>
        <w:spacing w:after="120"/>
        <w:ind w:left="360"/>
        <w:jc w:val="both"/>
        <w:rPr>
          <w:rFonts w:ascii="Calibri" w:hAnsi="Calibri" w:cs="Calibri"/>
          <w:sz w:val="22"/>
          <w:szCs w:val="22"/>
        </w:rPr>
      </w:pPr>
    </w:p>
    <w:p w14:paraId="4EAC01F0" w14:textId="25C24B18" w:rsidR="00B97FD4" w:rsidRDefault="00D61C44" w:rsidP="009D586C">
      <w:pPr>
        <w:pStyle w:val="ListParagraph"/>
        <w:numPr>
          <w:ilvl w:val="0"/>
          <w:numId w:val="29"/>
        </w:numPr>
        <w:spacing w:after="120"/>
        <w:jc w:val="both"/>
        <w:rPr>
          <w:rFonts w:ascii="Calibri" w:hAnsi="Calibri" w:cs="Calibri"/>
          <w:sz w:val="22"/>
          <w:szCs w:val="22"/>
        </w:rPr>
      </w:pPr>
      <w:r w:rsidRPr="00B97FD4">
        <w:rPr>
          <w:rFonts w:ascii="Calibri" w:hAnsi="Calibri" w:cs="Calibri"/>
          <w:sz w:val="22"/>
          <w:szCs w:val="22"/>
        </w:rPr>
        <w:t xml:space="preserve">Evaluation of whether disclosures should require categorization that aligns each reported fair value measurement to a specific statutory </w:t>
      </w:r>
      <w:r w:rsidR="00436463">
        <w:rPr>
          <w:rFonts w:ascii="Calibri" w:hAnsi="Calibri" w:cs="Calibri"/>
          <w:sz w:val="22"/>
          <w:szCs w:val="22"/>
        </w:rPr>
        <w:t xml:space="preserve">statement and reporting line. This would allow for traceability from Note 20C to the reporting schedule and unique reporting lines. </w:t>
      </w:r>
    </w:p>
    <w:p w14:paraId="357D4BB6" w14:textId="4459324B" w:rsidR="00B725E3" w:rsidRDefault="00D61C44" w:rsidP="009D586C">
      <w:pPr>
        <w:tabs>
          <w:tab w:val="left" w:pos="90"/>
        </w:tabs>
        <w:spacing w:after="120"/>
        <w:jc w:val="both"/>
        <w:rPr>
          <w:rFonts w:ascii="Calibri" w:hAnsi="Calibri" w:cs="Calibri"/>
          <w:sz w:val="22"/>
          <w:szCs w:val="22"/>
        </w:rPr>
      </w:pPr>
      <w:r w:rsidRPr="00D61C44">
        <w:rPr>
          <w:rFonts w:ascii="Calibri" w:hAnsi="Calibri" w:cs="Calibri"/>
          <w:sz w:val="22"/>
          <w:szCs w:val="22"/>
        </w:rPr>
        <w:t>These considerations are intended to enhance the practical utility of fair value disclosures for state insurance regulators, improve consistency across reporting entities, and support more effective analytical use of statutory financial reporting without materially increasing reporting burden.</w:t>
      </w:r>
    </w:p>
    <w:p w14:paraId="7F962D3D" w14:textId="3BEAF7B7" w:rsidR="005963CB" w:rsidRDefault="0064308C" w:rsidP="00D779DB">
      <w:pPr>
        <w:pStyle w:val="BodyText2"/>
        <w:tabs>
          <w:tab w:val="right" w:pos="360"/>
          <w:tab w:val="left" w:pos="720"/>
        </w:tabs>
        <w:spacing w:after="120"/>
        <w:jc w:val="both"/>
        <w:rPr>
          <w:rFonts w:ascii="Calibri" w:hAnsi="Calibri" w:cs="Calibri"/>
          <w:sz w:val="22"/>
          <w:szCs w:val="22"/>
        </w:rPr>
      </w:pPr>
      <w:r>
        <w:rPr>
          <w:rFonts w:ascii="Calibri" w:hAnsi="Calibri" w:cs="Calibri"/>
          <w:sz w:val="22"/>
          <w:szCs w:val="22"/>
        </w:rPr>
        <w:t xml:space="preserve">The </w:t>
      </w:r>
      <w:r w:rsidR="0018131C" w:rsidRPr="53A861FE">
        <w:rPr>
          <w:rFonts w:ascii="Calibri" w:hAnsi="Calibri" w:cs="Calibri"/>
          <w:sz w:val="22"/>
          <w:szCs w:val="22"/>
        </w:rPr>
        <w:t>Investment Analysis (E) Working Group</w:t>
      </w:r>
      <w:r w:rsidR="0018131C" w:rsidRPr="00F07D28">
        <w:rPr>
          <w:rFonts w:ascii="Calibri" w:hAnsi="Calibri" w:cs="Calibri"/>
          <w:sz w:val="22"/>
          <w:szCs w:val="22"/>
        </w:rPr>
        <w:t xml:space="preserve"> </w:t>
      </w:r>
      <w:r w:rsidR="00F07D28" w:rsidRPr="00F07D28">
        <w:rPr>
          <w:rFonts w:ascii="Calibri" w:hAnsi="Calibri" w:cs="Calibri"/>
          <w:sz w:val="22"/>
          <w:szCs w:val="22"/>
        </w:rPr>
        <w:t xml:space="preserve">support staff </w:t>
      </w:r>
      <w:r w:rsidR="00F95C53">
        <w:rPr>
          <w:rFonts w:ascii="Calibri" w:hAnsi="Calibri" w:cs="Calibri"/>
          <w:sz w:val="22"/>
          <w:szCs w:val="22"/>
        </w:rPr>
        <w:t>are</w:t>
      </w:r>
      <w:r w:rsidR="00F07D28" w:rsidRPr="00F07D28">
        <w:rPr>
          <w:rFonts w:ascii="Calibri" w:hAnsi="Calibri" w:cs="Calibri"/>
          <w:sz w:val="22"/>
          <w:szCs w:val="22"/>
        </w:rPr>
        <w:t xml:space="preserve"> available to provide additional background, data, or analysis as needed to assist </w:t>
      </w:r>
      <w:r w:rsidR="002500DF">
        <w:rPr>
          <w:rFonts w:ascii="Calibri" w:hAnsi="Calibri" w:cs="Calibri"/>
          <w:sz w:val="22"/>
          <w:szCs w:val="22"/>
        </w:rPr>
        <w:t>with</w:t>
      </w:r>
      <w:r w:rsidR="00F07D28" w:rsidRPr="00F07D28">
        <w:rPr>
          <w:rFonts w:ascii="Calibri" w:hAnsi="Calibri" w:cs="Calibri"/>
          <w:sz w:val="22"/>
          <w:szCs w:val="22"/>
        </w:rPr>
        <w:t xml:space="preserve"> the </w:t>
      </w:r>
      <w:r w:rsidR="00F065F5" w:rsidRPr="00950BEB">
        <w:rPr>
          <w:rFonts w:ascii="Calibri" w:hAnsi="Calibri" w:cs="Calibri"/>
          <w:sz w:val="22"/>
          <w:szCs w:val="22"/>
        </w:rPr>
        <w:t>Statutory Accounting Principles (E) Working Group</w:t>
      </w:r>
      <w:r w:rsidR="003454CC">
        <w:rPr>
          <w:rFonts w:ascii="Calibri" w:hAnsi="Calibri" w:cs="Calibri"/>
          <w:sz w:val="22"/>
          <w:szCs w:val="22"/>
        </w:rPr>
        <w:t>’</w:t>
      </w:r>
      <w:r w:rsidR="002500DF">
        <w:rPr>
          <w:rFonts w:ascii="Calibri" w:hAnsi="Calibri" w:cs="Calibri"/>
          <w:sz w:val="22"/>
          <w:szCs w:val="22"/>
        </w:rPr>
        <w:t>s</w:t>
      </w:r>
      <w:r w:rsidR="00F065F5" w:rsidRPr="00950BEB">
        <w:rPr>
          <w:rFonts w:ascii="Calibri" w:hAnsi="Calibri" w:cs="Calibri"/>
          <w:sz w:val="22"/>
          <w:szCs w:val="22"/>
        </w:rPr>
        <w:t xml:space="preserve"> </w:t>
      </w:r>
      <w:r w:rsidR="00F07D28" w:rsidRPr="00F07D28">
        <w:rPr>
          <w:rFonts w:ascii="Calibri" w:hAnsi="Calibri" w:cs="Calibri"/>
          <w:sz w:val="22"/>
          <w:szCs w:val="22"/>
        </w:rPr>
        <w:t>evaluation of this matter.</w:t>
      </w:r>
      <w:r w:rsidR="00680831">
        <w:rPr>
          <w:rFonts w:ascii="Calibri" w:hAnsi="Calibri" w:cs="Calibri"/>
          <w:sz w:val="22"/>
          <w:szCs w:val="22"/>
        </w:rPr>
        <w:t xml:space="preserve"> </w:t>
      </w:r>
      <w:r w:rsidR="005963CB" w:rsidRPr="00950BEB">
        <w:rPr>
          <w:rFonts w:ascii="Calibri" w:hAnsi="Calibri" w:cs="Calibri"/>
          <w:sz w:val="22"/>
          <w:szCs w:val="22"/>
        </w:rPr>
        <w:lastRenderedPageBreak/>
        <w:t>Please contact NAIC staff</w:t>
      </w:r>
      <w:r>
        <w:rPr>
          <w:rFonts w:ascii="Calibri" w:hAnsi="Calibri" w:cs="Calibri"/>
          <w:sz w:val="22"/>
          <w:szCs w:val="22"/>
        </w:rPr>
        <w:t>,</w:t>
      </w:r>
      <w:r w:rsidR="005963CB" w:rsidRPr="00950BEB">
        <w:rPr>
          <w:rFonts w:ascii="Calibri" w:hAnsi="Calibri" w:cs="Calibri"/>
          <w:sz w:val="22"/>
          <w:szCs w:val="22"/>
        </w:rPr>
        <w:t xml:space="preserve"> </w:t>
      </w:r>
      <w:r w:rsidR="000A1B2D">
        <w:rPr>
          <w:rFonts w:ascii="Calibri" w:hAnsi="Calibri" w:cs="Calibri"/>
          <w:sz w:val="22"/>
          <w:szCs w:val="22"/>
        </w:rPr>
        <w:t>Jim Pinegar</w:t>
      </w:r>
      <w:r>
        <w:rPr>
          <w:rFonts w:ascii="Calibri" w:hAnsi="Calibri" w:cs="Calibri"/>
          <w:sz w:val="22"/>
          <w:szCs w:val="22"/>
        </w:rPr>
        <w:t xml:space="preserve"> </w:t>
      </w:r>
      <w:r w:rsidR="005963CB" w:rsidRPr="00950BEB">
        <w:rPr>
          <w:rFonts w:ascii="Calibri" w:hAnsi="Calibri" w:cs="Calibri"/>
          <w:sz w:val="22"/>
          <w:szCs w:val="22"/>
        </w:rPr>
        <w:t>(</w:t>
      </w:r>
      <w:hyperlink r:id="rId11" w:history="1">
        <w:r w:rsidR="000A1B2D" w:rsidRPr="00FB0A37">
          <w:rPr>
            <w:rStyle w:val="Hyperlink"/>
            <w:rFonts w:ascii="Calibri" w:hAnsi="Calibri" w:cs="Calibri"/>
            <w:sz w:val="22"/>
            <w:szCs w:val="22"/>
          </w:rPr>
          <w:t>jpinegar@naic.org</w:t>
        </w:r>
      </w:hyperlink>
      <w:r w:rsidR="005963CB" w:rsidRPr="00950BEB">
        <w:rPr>
          <w:rFonts w:ascii="Calibri" w:hAnsi="Calibri" w:cs="Calibri"/>
          <w:sz w:val="22"/>
          <w:szCs w:val="22"/>
        </w:rPr>
        <w:t>)</w:t>
      </w:r>
      <w:r>
        <w:rPr>
          <w:rFonts w:ascii="Calibri" w:hAnsi="Calibri" w:cs="Calibri"/>
          <w:sz w:val="22"/>
          <w:szCs w:val="22"/>
        </w:rPr>
        <w:t>,</w:t>
      </w:r>
      <w:r w:rsidR="002956F8" w:rsidRPr="00950BEB">
        <w:rPr>
          <w:rFonts w:ascii="Calibri" w:hAnsi="Calibri" w:cs="Calibri"/>
          <w:sz w:val="22"/>
          <w:szCs w:val="22"/>
        </w:rPr>
        <w:t xml:space="preserve"> </w:t>
      </w:r>
      <w:r w:rsidR="005963CB" w:rsidRPr="00950BEB">
        <w:rPr>
          <w:rFonts w:ascii="Calibri" w:hAnsi="Calibri" w:cs="Calibri"/>
          <w:sz w:val="22"/>
          <w:szCs w:val="22"/>
        </w:rPr>
        <w:t xml:space="preserve">if you have any questions. </w:t>
      </w:r>
      <w:r w:rsidR="005963CB" w:rsidRPr="697C5877">
        <w:rPr>
          <w:rFonts w:ascii="Calibri" w:hAnsi="Calibri" w:cs="Calibri"/>
          <w:sz w:val="22"/>
          <w:szCs w:val="22"/>
        </w:rPr>
        <w:t>Cc:</w:t>
      </w:r>
      <w:r w:rsidR="000A1B2D" w:rsidRPr="697C5877">
        <w:rPr>
          <w:rFonts w:ascii="Calibri" w:hAnsi="Calibri" w:cs="Calibri"/>
          <w:sz w:val="22"/>
          <w:szCs w:val="22"/>
        </w:rPr>
        <w:t xml:space="preserve"> </w:t>
      </w:r>
      <w:r w:rsidR="008316F8" w:rsidRPr="697C5877">
        <w:rPr>
          <w:rFonts w:ascii="Calibri" w:hAnsi="Calibri" w:cs="Calibri"/>
          <w:sz w:val="22"/>
          <w:szCs w:val="22"/>
        </w:rPr>
        <w:t>Jim Pinegar, Dimitris Karapiperis,</w:t>
      </w:r>
      <w:r w:rsidR="00510F28">
        <w:rPr>
          <w:rFonts w:ascii="Calibri" w:hAnsi="Calibri" w:cs="Calibri"/>
          <w:sz w:val="22"/>
          <w:szCs w:val="22"/>
        </w:rPr>
        <w:t xml:space="preserve"> Topher Hughes</w:t>
      </w:r>
      <w:r w:rsidR="002C037C">
        <w:rPr>
          <w:rFonts w:ascii="Calibri" w:hAnsi="Calibri" w:cs="Calibri"/>
          <w:sz w:val="22"/>
          <w:szCs w:val="22"/>
        </w:rPr>
        <w:t xml:space="preserve">, </w:t>
      </w:r>
      <w:r w:rsidR="002C037C" w:rsidRPr="697C5877">
        <w:rPr>
          <w:rFonts w:ascii="Calibri" w:hAnsi="Calibri" w:cs="Calibri"/>
          <w:sz w:val="22"/>
          <w:szCs w:val="22"/>
        </w:rPr>
        <w:t xml:space="preserve">Julie Gann, Robin Marcotte, </w:t>
      </w:r>
      <w:r w:rsidR="00CB4CA8" w:rsidRPr="697C5877">
        <w:rPr>
          <w:rFonts w:ascii="Calibri" w:hAnsi="Calibri" w:cs="Calibri"/>
          <w:sz w:val="22"/>
          <w:szCs w:val="22"/>
        </w:rPr>
        <w:t>Jake Stultz</w:t>
      </w:r>
      <w:r w:rsidR="00CB4CA8">
        <w:rPr>
          <w:rFonts w:ascii="Calibri" w:hAnsi="Calibri" w:cs="Calibri"/>
          <w:sz w:val="22"/>
          <w:szCs w:val="22"/>
        </w:rPr>
        <w:t>,</w:t>
      </w:r>
      <w:r w:rsidR="00CB4CA8" w:rsidRPr="697C5877">
        <w:rPr>
          <w:rFonts w:ascii="Calibri" w:hAnsi="Calibri" w:cs="Calibri"/>
          <w:sz w:val="22"/>
          <w:szCs w:val="22"/>
        </w:rPr>
        <w:t xml:space="preserve"> </w:t>
      </w:r>
      <w:r w:rsidR="002C037C" w:rsidRPr="697C5877">
        <w:rPr>
          <w:rFonts w:ascii="Calibri" w:hAnsi="Calibri" w:cs="Calibri"/>
          <w:sz w:val="22"/>
          <w:szCs w:val="22"/>
        </w:rPr>
        <w:t>Wil Oden</w:t>
      </w:r>
      <w:r w:rsidR="006A25BF">
        <w:rPr>
          <w:rFonts w:ascii="Calibri" w:hAnsi="Calibri" w:cs="Calibri"/>
          <w:sz w:val="22"/>
          <w:szCs w:val="22"/>
        </w:rPr>
        <w:t>, and</w:t>
      </w:r>
      <w:r w:rsidR="008316F8" w:rsidRPr="697C5877">
        <w:rPr>
          <w:rFonts w:ascii="Calibri" w:hAnsi="Calibri" w:cs="Calibri"/>
          <w:sz w:val="22"/>
          <w:szCs w:val="22"/>
        </w:rPr>
        <w:t xml:space="preserve"> Jason Farr</w:t>
      </w:r>
    </w:p>
    <w:p w14:paraId="61039EF7" w14:textId="77777777" w:rsidR="00544A7E" w:rsidRDefault="00544A7E" w:rsidP="00D779DB">
      <w:pPr>
        <w:pStyle w:val="BodyText2"/>
        <w:tabs>
          <w:tab w:val="right" w:pos="360"/>
          <w:tab w:val="left" w:pos="720"/>
        </w:tabs>
        <w:spacing w:after="120"/>
        <w:jc w:val="both"/>
        <w:rPr>
          <w:rFonts w:ascii="Calibri" w:hAnsi="Calibri" w:cs="Calibri"/>
          <w:sz w:val="22"/>
          <w:szCs w:val="22"/>
        </w:rPr>
      </w:pPr>
    </w:p>
    <w:p w14:paraId="163CECBB" w14:textId="6FD325E9" w:rsidR="00544A7E" w:rsidRPr="003F5BC2" w:rsidRDefault="00544A7E" w:rsidP="00544A7E">
      <w:pPr>
        <w:rPr>
          <w:rFonts w:asciiTheme="minorHAnsi" w:hAnsiTheme="minorHAnsi" w:cstheme="minorHAnsi"/>
          <w:sz w:val="16"/>
          <w:szCs w:val="16"/>
        </w:rPr>
      </w:pPr>
      <w:r w:rsidRPr="007441CC">
        <w:rPr>
          <w:rFonts w:asciiTheme="minorHAnsi" w:hAnsiTheme="minorHAnsi" w:cstheme="minorHAnsi"/>
          <w:sz w:val="16"/>
          <w:szCs w:val="16"/>
        </w:rPr>
        <w:fldChar w:fldCharType="begin"/>
      </w:r>
      <w:r w:rsidRPr="007441CC">
        <w:rPr>
          <w:rFonts w:asciiTheme="minorHAnsi" w:hAnsiTheme="minorHAnsi" w:cstheme="minorHAnsi"/>
          <w:sz w:val="16"/>
          <w:szCs w:val="16"/>
        </w:rPr>
        <w:instrText xml:space="preserve"> FILENAME \p </w:instrText>
      </w:r>
      <w:r w:rsidRPr="007441CC">
        <w:rPr>
          <w:rFonts w:asciiTheme="minorHAnsi" w:hAnsiTheme="minorHAnsi" w:cstheme="minorHAnsi"/>
          <w:sz w:val="16"/>
          <w:szCs w:val="16"/>
        </w:rPr>
        <w:fldChar w:fldCharType="separate"/>
      </w:r>
      <w:r>
        <w:rPr>
          <w:rFonts w:asciiTheme="minorHAnsi" w:hAnsiTheme="minorHAnsi" w:cstheme="minorHAnsi"/>
          <w:noProof/>
          <w:sz w:val="16"/>
          <w:szCs w:val="16"/>
        </w:rPr>
        <w:t>https://naiconline.sharepoint.com/teams/FRSStatutoryAccounting/National Meetings/A. National Meeting Materials/2026/08-12-26 Summer National Meeting/Hearing/6 - INVAWG to SAPWG (Level 3 Disclosures).docx</w:t>
      </w:r>
      <w:r w:rsidRPr="007441CC">
        <w:rPr>
          <w:rFonts w:asciiTheme="minorHAnsi" w:hAnsiTheme="minorHAnsi" w:cstheme="minorHAnsi"/>
          <w:sz w:val="16"/>
          <w:szCs w:val="16"/>
        </w:rPr>
        <w:fldChar w:fldCharType="end"/>
      </w:r>
    </w:p>
    <w:p w14:paraId="2136D3EA" w14:textId="77777777" w:rsidR="00544A7E" w:rsidRPr="00950BEB" w:rsidRDefault="00544A7E" w:rsidP="00D779DB">
      <w:pPr>
        <w:pStyle w:val="BodyText2"/>
        <w:tabs>
          <w:tab w:val="right" w:pos="360"/>
          <w:tab w:val="left" w:pos="720"/>
        </w:tabs>
        <w:spacing w:after="120"/>
        <w:jc w:val="both"/>
        <w:rPr>
          <w:rFonts w:ascii="Calibri" w:hAnsi="Calibri" w:cs="Calibri"/>
          <w:sz w:val="22"/>
          <w:szCs w:val="22"/>
        </w:rPr>
      </w:pPr>
    </w:p>
    <w:sectPr w:rsidR="00544A7E" w:rsidRPr="00950BEB" w:rsidSect="002D5837">
      <w:headerReference w:type="default" r:id="rId12"/>
      <w:footerReference w:type="even" r:id="rId13"/>
      <w:footerReference w:type="default" r:id="rId14"/>
      <w:headerReference w:type="first" r:id="rId15"/>
      <w:footerReference w:type="first" r:id="rId16"/>
      <w:pgSz w:w="12240" w:h="15840" w:code="1"/>
      <w:pgMar w:top="1008" w:right="1080" w:bottom="864" w:left="108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BC370" w14:textId="77777777" w:rsidR="008F3260" w:rsidRDefault="008F3260">
      <w:r>
        <w:separator/>
      </w:r>
    </w:p>
  </w:endnote>
  <w:endnote w:type="continuationSeparator" w:id="0">
    <w:p w14:paraId="0AA91992" w14:textId="77777777" w:rsidR="008F3260" w:rsidRDefault="008F3260">
      <w:r>
        <w:continuationSeparator/>
      </w:r>
    </w:p>
  </w:endnote>
  <w:endnote w:type="continuationNotice" w:id="1">
    <w:p w14:paraId="7726E700" w14:textId="77777777" w:rsidR="008F3260" w:rsidRDefault="008F3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EB90" w14:textId="77777777" w:rsidR="00A47964" w:rsidRDefault="00A47964" w:rsidP="00717D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7BB314" w14:textId="77777777" w:rsidR="00A47964" w:rsidRDefault="00A47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F798B" w14:textId="77777777" w:rsidR="00A47964" w:rsidRDefault="00A47964">
    <w:pPr>
      <w:pStyle w:val="Footer"/>
    </w:pPr>
  </w:p>
  <w:p w14:paraId="2546AECD" w14:textId="5E0A40A3" w:rsidR="00A47964" w:rsidRPr="00E54F09" w:rsidRDefault="00A47964" w:rsidP="00F52F5F">
    <w:pPr>
      <w:pStyle w:val="Footer"/>
      <w:framePr w:wrap="around" w:vAnchor="text" w:hAnchor="page" w:x="6076" w:y="21"/>
      <w:rPr>
        <w:rStyle w:val="PageNumber"/>
        <w:rFonts w:asciiTheme="minorHAnsi" w:hAnsiTheme="minorHAnsi" w:cstheme="minorHAnsi"/>
      </w:rPr>
    </w:pPr>
    <w:r w:rsidRPr="00E54F09">
      <w:rPr>
        <w:rStyle w:val="PageNumber"/>
        <w:rFonts w:asciiTheme="minorHAnsi" w:hAnsiTheme="minorHAnsi" w:cstheme="minorHAnsi"/>
      </w:rPr>
      <w:fldChar w:fldCharType="begin"/>
    </w:r>
    <w:r w:rsidRPr="00E54F09">
      <w:rPr>
        <w:rStyle w:val="PageNumber"/>
        <w:rFonts w:asciiTheme="minorHAnsi" w:hAnsiTheme="minorHAnsi" w:cstheme="minorHAnsi"/>
      </w:rPr>
      <w:instrText xml:space="preserve">PAGE  </w:instrText>
    </w:r>
    <w:r w:rsidRPr="00E54F09">
      <w:rPr>
        <w:rStyle w:val="PageNumber"/>
        <w:rFonts w:asciiTheme="minorHAnsi" w:hAnsiTheme="minorHAnsi" w:cstheme="minorHAnsi"/>
      </w:rPr>
      <w:fldChar w:fldCharType="separate"/>
    </w:r>
    <w:r w:rsidR="00DB520D" w:rsidRPr="00E54F09">
      <w:rPr>
        <w:rStyle w:val="PageNumber"/>
        <w:rFonts w:asciiTheme="minorHAnsi" w:hAnsiTheme="minorHAnsi" w:cstheme="minorHAnsi"/>
        <w:noProof/>
      </w:rPr>
      <w:t>3</w:t>
    </w:r>
    <w:r w:rsidRPr="00E54F09">
      <w:rPr>
        <w:rStyle w:val="PageNumber"/>
        <w:rFonts w:asciiTheme="minorHAnsi" w:hAnsiTheme="minorHAnsi" w:cstheme="minorHAnsi"/>
      </w:rPr>
      <w:fldChar w:fldCharType="end"/>
    </w:r>
  </w:p>
  <w:p w14:paraId="23ACB821" w14:textId="0EAAC168" w:rsidR="00A47964" w:rsidRPr="00E54F09" w:rsidRDefault="2E867C7D">
    <w:pPr>
      <w:pStyle w:val="Footer"/>
      <w:rPr>
        <w:rFonts w:asciiTheme="minorHAnsi" w:hAnsiTheme="minorHAnsi" w:cstheme="minorHAnsi"/>
      </w:rPr>
    </w:pPr>
    <w:r w:rsidRPr="00E54F09">
      <w:rPr>
        <w:rFonts w:asciiTheme="minorHAnsi" w:hAnsiTheme="minorHAnsi" w:cstheme="minorHAnsi"/>
      </w:rPr>
      <w:t>© 202</w:t>
    </w:r>
    <w:r w:rsidR="00C61721" w:rsidRPr="00E54F09">
      <w:rPr>
        <w:rFonts w:asciiTheme="minorHAnsi" w:hAnsiTheme="minorHAnsi" w:cstheme="minorHAnsi"/>
      </w:rPr>
      <w:t>6</w:t>
    </w:r>
    <w:r w:rsidRPr="00E54F09">
      <w:rPr>
        <w:rFonts w:asciiTheme="minorHAnsi" w:hAnsiTheme="minorHAnsi" w:cstheme="minorHAnsi"/>
      </w:rPr>
      <w:t xml:space="preserve"> National Association of Insurance Commissioners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E58E" w14:textId="0A0BA92E" w:rsidR="004865E8" w:rsidRPr="005506B9" w:rsidRDefault="0A746399" w:rsidP="004865E8">
    <w:pPr>
      <w:pStyle w:val="Footer"/>
      <w:tabs>
        <w:tab w:val="clear" w:pos="4320"/>
        <w:tab w:val="center" w:pos="5040"/>
      </w:tabs>
      <w:rPr>
        <w:rFonts w:ascii="Calibri" w:hAnsi="Calibri" w:cs="Calibri"/>
        <w:lang w:eastAsia="zh-CN"/>
      </w:rPr>
    </w:pPr>
    <w:r w:rsidRPr="0A746399">
      <w:rPr>
        <w:rFonts w:ascii="Calibri" w:hAnsi="Calibri" w:cs="Calibri"/>
        <w:noProof/>
      </w:rPr>
      <w:t>© 2026 National Association of Insurance Commissioners</w:t>
    </w:r>
    <w:r w:rsidR="004865E8">
      <w:tab/>
    </w:r>
    <w:r w:rsidR="004865E8" w:rsidRPr="0A746399">
      <w:rPr>
        <w:rStyle w:val="PageNumber"/>
        <w:rFonts w:ascii="Calibri" w:hAnsi="Calibri" w:cs="Calibri"/>
        <w:noProof/>
      </w:rPr>
      <w:fldChar w:fldCharType="begin"/>
    </w:r>
    <w:r w:rsidR="004865E8" w:rsidRPr="0A746399">
      <w:rPr>
        <w:rStyle w:val="PageNumber"/>
        <w:rFonts w:ascii="Calibri" w:hAnsi="Calibri" w:cs="Calibri"/>
      </w:rPr>
      <w:instrText xml:space="preserve"> PAGE </w:instrText>
    </w:r>
    <w:r w:rsidR="004865E8" w:rsidRPr="0A746399">
      <w:rPr>
        <w:rStyle w:val="PageNumber"/>
        <w:rFonts w:ascii="Calibri" w:hAnsi="Calibri" w:cs="Calibri"/>
      </w:rPr>
      <w:fldChar w:fldCharType="separate"/>
    </w:r>
    <w:r w:rsidRPr="0A746399">
      <w:rPr>
        <w:rStyle w:val="PageNumber"/>
        <w:rFonts w:ascii="Calibri" w:hAnsi="Calibri" w:cs="Calibri"/>
        <w:noProof/>
      </w:rPr>
      <w:t>1</w:t>
    </w:r>
    <w:r w:rsidR="004865E8" w:rsidRPr="0A746399">
      <w:rPr>
        <w:rStyle w:val="PageNumber"/>
        <w:rFonts w:ascii="Calibri" w:hAnsi="Calibri" w:cs="Calibr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01787" w14:textId="77777777" w:rsidR="008F3260" w:rsidRDefault="008F3260">
      <w:r>
        <w:separator/>
      </w:r>
    </w:p>
  </w:footnote>
  <w:footnote w:type="continuationSeparator" w:id="0">
    <w:p w14:paraId="5811C080" w14:textId="77777777" w:rsidR="008F3260" w:rsidRDefault="008F3260">
      <w:r>
        <w:continuationSeparator/>
      </w:r>
    </w:p>
  </w:footnote>
  <w:footnote w:type="continuationNotice" w:id="1">
    <w:p w14:paraId="3A9C00BF" w14:textId="77777777" w:rsidR="008F3260" w:rsidRDefault="008F3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1239" w14:textId="21A2224B" w:rsidR="00A97039" w:rsidRPr="008B2AA0" w:rsidRDefault="00A97039" w:rsidP="00A97039">
    <w:pPr>
      <w:pStyle w:val="Header"/>
      <w:jc w:val="right"/>
      <w:rPr>
        <w:rFonts w:asciiTheme="minorHAnsi" w:hAnsiTheme="minorHAnsi" w:cstheme="minorHAnsi"/>
        <w:b/>
        <w:bCs/>
      </w:rPr>
    </w:pPr>
    <w:r w:rsidRPr="008B2AA0">
      <w:rPr>
        <w:rFonts w:asciiTheme="minorHAnsi" w:hAnsiTheme="minorHAnsi" w:cstheme="minorHAnsi"/>
        <w:b/>
        <w:bCs/>
      </w:rPr>
      <w:t xml:space="preserve">Attachment </w:t>
    </w:r>
    <w:r>
      <w:rPr>
        <w:rFonts w:asciiTheme="minorHAnsi" w:hAnsiTheme="minorHAnsi" w:cstheme="minorHAnsi"/>
        <w:b/>
        <w:bCs/>
      </w:rPr>
      <w:t>6</w:t>
    </w:r>
  </w:p>
  <w:p w14:paraId="360F0B35" w14:textId="77777777" w:rsidR="00A97039" w:rsidRDefault="00A970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68C77" w14:textId="22613BE2" w:rsidR="00A97039" w:rsidRPr="008B2AA0" w:rsidRDefault="00224D53" w:rsidP="00A97039">
    <w:pPr>
      <w:pStyle w:val="Header"/>
      <w:jc w:val="right"/>
      <w:rPr>
        <w:rFonts w:asciiTheme="minorHAnsi" w:hAnsiTheme="minorHAnsi" w:cstheme="minorHAnsi"/>
        <w:b/>
        <w:bCs/>
      </w:rPr>
    </w:pPr>
    <w:r>
      <w:rPr>
        <w:noProof/>
      </w:rPr>
      <w:drawing>
        <wp:anchor distT="0" distB="0" distL="114300" distR="114300" simplePos="0" relativeHeight="251658240" behindDoc="1" locked="1" layoutInCell="1" allowOverlap="1" wp14:anchorId="4D69B572" wp14:editId="6B62B007">
          <wp:simplePos x="0" y="0"/>
          <wp:positionH relativeFrom="page">
            <wp:posOffset>689212</wp:posOffset>
          </wp:positionH>
          <wp:positionV relativeFrom="page">
            <wp:posOffset>457200</wp:posOffset>
          </wp:positionV>
          <wp:extent cx="3108960" cy="373677"/>
          <wp:effectExtent l="0" t="0" r="0"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AICLogo"/>
                  <pic:cNvPicPr/>
                </pic:nvPicPr>
                <pic:blipFill>
                  <a:blip r:embed="rId1"/>
                  <a:stretch>
                    <a:fillRect/>
                  </a:stretch>
                </pic:blipFill>
                <pic:spPr>
                  <a:xfrm>
                    <a:off x="0" y="0"/>
                    <a:ext cx="3108960" cy="373677"/>
                  </a:xfrm>
                  <a:prstGeom prst="rect">
                    <a:avLst/>
                  </a:prstGeom>
                </pic:spPr>
              </pic:pic>
            </a:graphicData>
          </a:graphic>
          <wp14:sizeRelH relativeFrom="margin">
            <wp14:pctWidth>0</wp14:pctWidth>
          </wp14:sizeRelH>
          <wp14:sizeRelV relativeFrom="margin">
            <wp14:pctHeight>0</wp14:pctHeight>
          </wp14:sizeRelV>
        </wp:anchor>
      </w:drawing>
    </w:r>
    <w:r w:rsidR="00A47964">
      <w:tab/>
    </w:r>
    <w:r w:rsidR="00A97039" w:rsidRPr="008B2AA0">
      <w:rPr>
        <w:rFonts w:asciiTheme="minorHAnsi" w:hAnsiTheme="minorHAnsi" w:cstheme="minorHAnsi"/>
        <w:b/>
        <w:bCs/>
      </w:rPr>
      <w:t xml:space="preserve">Attachment </w:t>
    </w:r>
    <w:r w:rsidR="00A97039">
      <w:rPr>
        <w:rFonts w:asciiTheme="minorHAnsi" w:hAnsiTheme="minorHAnsi" w:cstheme="minorHAnsi"/>
        <w:b/>
        <w:bCs/>
      </w:rPr>
      <w:t>6</w:t>
    </w:r>
  </w:p>
  <w:p w14:paraId="47054497" w14:textId="2A5752CD" w:rsidR="00D07E21" w:rsidRDefault="00D07E21" w:rsidP="00224D53">
    <w:pPr>
      <w:pStyle w:val="Header"/>
      <w:pBdr>
        <w:bottom w:val="single" w:sz="12" w:space="31" w:color="auto"/>
      </w:pBdr>
    </w:pPr>
  </w:p>
  <w:p w14:paraId="60A78B4D" w14:textId="6EA18F59" w:rsidR="00A47964" w:rsidRPr="00D31C6E" w:rsidRDefault="00A47964" w:rsidP="00224D53">
    <w:pPr>
      <w:pStyle w:val="Header"/>
      <w:pBdr>
        <w:bottom w:val="single" w:sz="12" w:space="31" w:color="auto"/>
      </w:pBdr>
      <w:rPr>
        <w:sz w:val="4"/>
        <w:szCs w:val="4"/>
      </w:rPr>
    </w:pPr>
    <w:r>
      <w:tab/>
    </w:r>
  </w:p>
  <w:p w14:paraId="1697F95E" w14:textId="77777777" w:rsidR="00A47964" w:rsidRPr="00D31C6E" w:rsidRDefault="00A47964" w:rsidP="00D31C6E">
    <w:pPr>
      <w:pStyle w:val="Heade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C8FD70"/>
    <w:lvl w:ilvl="0">
      <w:start w:val="1"/>
      <w:numFmt w:val="lowerLetter"/>
      <w:pStyle w:val="ListNumber2"/>
      <w:lvlText w:val="%1."/>
      <w:lvlJc w:val="left"/>
      <w:pPr>
        <w:tabs>
          <w:tab w:val="num" w:pos="0"/>
        </w:tabs>
        <w:ind w:left="1440" w:hanging="720"/>
      </w:pPr>
    </w:lvl>
  </w:abstractNum>
  <w:abstractNum w:abstractNumId="1" w15:restartNumberingAfterBreak="0">
    <w:nsid w:val="00000402"/>
    <w:multiLevelType w:val="multilevel"/>
    <w:tmpl w:val="FD204BFE"/>
    <w:lvl w:ilvl="0">
      <w:start w:val="13"/>
      <w:numFmt w:val="decimal"/>
      <w:lvlText w:val="%1."/>
      <w:lvlJc w:val="left"/>
      <w:pPr>
        <w:ind w:left="120" w:hanging="720"/>
      </w:pPr>
      <w:rPr>
        <w:rFonts w:ascii="Times New Roman" w:hAnsi="Times New Roman" w:cs="Times New Roman" w:hint="default"/>
        <w:b w:val="0"/>
        <w:bCs w:val="0"/>
        <w:i w:val="0"/>
        <w:iCs w:val="0"/>
        <w:spacing w:val="0"/>
        <w:w w:val="99"/>
        <w:sz w:val="22"/>
        <w:szCs w:val="22"/>
      </w:rPr>
    </w:lvl>
    <w:lvl w:ilvl="1">
      <w:start w:val="1"/>
      <w:numFmt w:val="lowerLetter"/>
      <w:lvlText w:val="%2."/>
      <w:lvlJc w:val="left"/>
      <w:pPr>
        <w:ind w:left="1559" w:hanging="720"/>
      </w:pPr>
      <w:rPr>
        <w:rFonts w:ascii="Times New Roman" w:hAnsi="Times New Roman" w:cs="Times New Roman" w:hint="default"/>
        <w:b w:val="0"/>
        <w:bCs w:val="0"/>
        <w:i w:val="0"/>
        <w:iCs w:val="0"/>
        <w:spacing w:val="-1"/>
        <w:w w:val="99"/>
        <w:sz w:val="22"/>
        <w:szCs w:val="22"/>
      </w:rPr>
    </w:lvl>
    <w:lvl w:ilvl="2">
      <w:start w:val="1"/>
      <w:numFmt w:val="lowerRoman"/>
      <w:lvlText w:val="%3."/>
      <w:lvlJc w:val="left"/>
      <w:pPr>
        <w:ind w:left="2279" w:hanging="720"/>
      </w:pPr>
      <w:rPr>
        <w:rFonts w:ascii="Times New Roman" w:hAnsi="Times New Roman" w:cs="Times New Roman" w:hint="default"/>
        <w:b w:val="0"/>
        <w:bCs w:val="0"/>
        <w:i w:val="0"/>
        <w:iCs w:val="0"/>
        <w:spacing w:val="0"/>
        <w:w w:val="99"/>
        <w:sz w:val="22"/>
        <w:szCs w:val="22"/>
      </w:rPr>
    </w:lvl>
    <w:lvl w:ilvl="3">
      <w:numFmt w:val="bullet"/>
      <w:lvlText w:val="•"/>
      <w:lvlJc w:val="left"/>
      <w:pPr>
        <w:ind w:left="3195" w:hanging="720"/>
      </w:pPr>
      <w:rPr>
        <w:rFonts w:hint="default"/>
      </w:rPr>
    </w:lvl>
    <w:lvl w:ilvl="4">
      <w:numFmt w:val="bullet"/>
      <w:lvlText w:val="•"/>
      <w:lvlJc w:val="left"/>
      <w:pPr>
        <w:ind w:left="4110" w:hanging="720"/>
      </w:pPr>
      <w:rPr>
        <w:rFonts w:hint="default"/>
      </w:rPr>
    </w:lvl>
    <w:lvl w:ilvl="5">
      <w:numFmt w:val="bullet"/>
      <w:lvlText w:val="•"/>
      <w:lvlJc w:val="left"/>
      <w:pPr>
        <w:ind w:left="5025" w:hanging="720"/>
      </w:pPr>
      <w:rPr>
        <w:rFonts w:hint="default"/>
      </w:rPr>
    </w:lvl>
    <w:lvl w:ilvl="6">
      <w:numFmt w:val="bullet"/>
      <w:lvlText w:val="•"/>
      <w:lvlJc w:val="left"/>
      <w:pPr>
        <w:ind w:left="5940" w:hanging="720"/>
      </w:pPr>
      <w:rPr>
        <w:rFonts w:hint="default"/>
      </w:rPr>
    </w:lvl>
    <w:lvl w:ilvl="7">
      <w:numFmt w:val="bullet"/>
      <w:lvlText w:val="•"/>
      <w:lvlJc w:val="left"/>
      <w:pPr>
        <w:ind w:left="6855" w:hanging="720"/>
      </w:pPr>
      <w:rPr>
        <w:rFonts w:hint="default"/>
      </w:rPr>
    </w:lvl>
    <w:lvl w:ilvl="8">
      <w:numFmt w:val="bullet"/>
      <w:lvlText w:val="•"/>
      <w:lvlJc w:val="left"/>
      <w:pPr>
        <w:ind w:left="7770" w:hanging="720"/>
      </w:pPr>
      <w:rPr>
        <w:rFonts w:hint="default"/>
      </w:rPr>
    </w:lvl>
  </w:abstractNum>
  <w:abstractNum w:abstractNumId="2" w15:restartNumberingAfterBreak="0">
    <w:nsid w:val="02762482"/>
    <w:multiLevelType w:val="hybridMultilevel"/>
    <w:tmpl w:val="A3F45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01922"/>
    <w:multiLevelType w:val="multilevel"/>
    <w:tmpl w:val="FD204BFE"/>
    <w:lvl w:ilvl="0">
      <w:start w:val="13"/>
      <w:numFmt w:val="decimal"/>
      <w:lvlText w:val="%1."/>
      <w:lvlJc w:val="left"/>
      <w:pPr>
        <w:ind w:left="120" w:hanging="720"/>
      </w:pPr>
      <w:rPr>
        <w:rFonts w:ascii="Times New Roman" w:hAnsi="Times New Roman" w:cs="Times New Roman" w:hint="default"/>
        <w:b w:val="0"/>
        <w:bCs w:val="0"/>
        <w:i w:val="0"/>
        <w:iCs w:val="0"/>
        <w:spacing w:val="0"/>
        <w:w w:val="99"/>
        <w:sz w:val="22"/>
        <w:szCs w:val="22"/>
      </w:rPr>
    </w:lvl>
    <w:lvl w:ilvl="1">
      <w:start w:val="1"/>
      <w:numFmt w:val="lowerLetter"/>
      <w:lvlText w:val="%2."/>
      <w:lvlJc w:val="left"/>
      <w:pPr>
        <w:ind w:left="1559" w:hanging="720"/>
      </w:pPr>
      <w:rPr>
        <w:rFonts w:ascii="Times New Roman" w:hAnsi="Times New Roman" w:cs="Times New Roman" w:hint="default"/>
        <w:b w:val="0"/>
        <w:bCs w:val="0"/>
        <w:i w:val="0"/>
        <w:iCs w:val="0"/>
        <w:spacing w:val="-1"/>
        <w:w w:val="99"/>
        <w:sz w:val="22"/>
        <w:szCs w:val="22"/>
      </w:rPr>
    </w:lvl>
    <w:lvl w:ilvl="2">
      <w:start w:val="1"/>
      <w:numFmt w:val="lowerRoman"/>
      <w:lvlText w:val="%3."/>
      <w:lvlJc w:val="left"/>
      <w:pPr>
        <w:ind w:left="2279" w:hanging="720"/>
      </w:pPr>
      <w:rPr>
        <w:rFonts w:ascii="Times New Roman" w:hAnsi="Times New Roman" w:cs="Times New Roman" w:hint="default"/>
        <w:b w:val="0"/>
        <w:bCs w:val="0"/>
        <w:i w:val="0"/>
        <w:iCs w:val="0"/>
        <w:spacing w:val="0"/>
        <w:w w:val="99"/>
        <w:sz w:val="22"/>
        <w:szCs w:val="22"/>
      </w:rPr>
    </w:lvl>
    <w:lvl w:ilvl="3">
      <w:numFmt w:val="bullet"/>
      <w:lvlText w:val="•"/>
      <w:lvlJc w:val="left"/>
      <w:pPr>
        <w:ind w:left="3195" w:hanging="720"/>
      </w:pPr>
      <w:rPr>
        <w:rFonts w:hint="default"/>
      </w:rPr>
    </w:lvl>
    <w:lvl w:ilvl="4">
      <w:numFmt w:val="bullet"/>
      <w:lvlText w:val="•"/>
      <w:lvlJc w:val="left"/>
      <w:pPr>
        <w:ind w:left="4110" w:hanging="720"/>
      </w:pPr>
      <w:rPr>
        <w:rFonts w:hint="default"/>
      </w:rPr>
    </w:lvl>
    <w:lvl w:ilvl="5">
      <w:numFmt w:val="bullet"/>
      <w:lvlText w:val="•"/>
      <w:lvlJc w:val="left"/>
      <w:pPr>
        <w:ind w:left="5025" w:hanging="720"/>
      </w:pPr>
      <w:rPr>
        <w:rFonts w:hint="default"/>
      </w:rPr>
    </w:lvl>
    <w:lvl w:ilvl="6">
      <w:numFmt w:val="bullet"/>
      <w:lvlText w:val="•"/>
      <w:lvlJc w:val="left"/>
      <w:pPr>
        <w:ind w:left="5940" w:hanging="720"/>
      </w:pPr>
      <w:rPr>
        <w:rFonts w:hint="default"/>
      </w:rPr>
    </w:lvl>
    <w:lvl w:ilvl="7">
      <w:numFmt w:val="bullet"/>
      <w:lvlText w:val="•"/>
      <w:lvlJc w:val="left"/>
      <w:pPr>
        <w:ind w:left="6855" w:hanging="720"/>
      </w:pPr>
      <w:rPr>
        <w:rFonts w:hint="default"/>
      </w:rPr>
    </w:lvl>
    <w:lvl w:ilvl="8">
      <w:numFmt w:val="bullet"/>
      <w:lvlText w:val="•"/>
      <w:lvlJc w:val="left"/>
      <w:pPr>
        <w:ind w:left="7770" w:hanging="720"/>
      </w:pPr>
      <w:rPr>
        <w:rFonts w:hint="default"/>
      </w:rPr>
    </w:lvl>
  </w:abstractNum>
  <w:abstractNum w:abstractNumId="4" w15:restartNumberingAfterBreak="0">
    <w:nsid w:val="03550990"/>
    <w:multiLevelType w:val="hybridMultilevel"/>
    <w:tmpl w:val="7D603E46"/>
    <w:lvl w:ilvl="0" w:tplc="F274E040">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2210F7"/>
    <w:multiLevelType w:val="hybridMultilevel"/>
    <w:tmpl w:val="081C615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96B7E6D"/>
    <w:multiLevelType w:val="multilevel"/>
    <w:tmpl w:val="8830262E"/>
    <w:lvl w:ilvl="0">
      <w:start w:val="39"/>
      <w:numFmt w:val="decimal"/>
      <w:lvlText w:val="%1."/>
      <w:lvlJc w:val="left"/>
      <w:pPr>
        <w:ind w:left="760" w:hanging="720"/>
      </w:pPr>
      <w:rPr>
        <w:rFonts w:ascii="Times New Roman" w:hAnsi="Times New Roman" w:cs="Times New Roman" w:hint="default"/>
        <w:b w:val="0"/>
        <w:bCs w:val="0"/>
        <w:i w:val="0"/>
        <w:iCs w:val="0"/>
        <w:spacing w:val="0"/>
        <w:w w:val="99"/>
        <w:sz w:val="22"/>
        <w:szCs w:val="22"/>
      </w:rPr>
    </w:lvl>
    <w:lvl w:ilvl="1">
      <w:start w:val="1"/>
      <w:numFmt w:val="lowerLetter"/>
      <w:lvlText w:val="%2."/>
      <w:lvlJc w:val="left"/>
      <w:pPr>
        <w:ind w:left="2199" w:hanging="720"/>
      </w:pPr>
      <w:rPr>
        <w:rFonts w:ascii="Times New Roman" w:hAnsi="Times New Roman" w:cs="Times New Roman" w:hint="default"/>
        <w:b w:val="0"/>
        <w:bCs w:val="0"/>
        <w:i w:val="0"/>
        <w:iCs w:val="0"/>
        <w:spacing w:val="-1"/>
        <w:w w:val="99"/>
        <w:sz w:val="22"/>
        <w:szCs w:val="22"/>
      </w:rPr>
    </w:lvl>
    <w:lvl w:ilvl="2">
      <w:start w:val="1"/>
      <w:numFmt w:val="lowerRoman"/>
      <w:lvlText w:val="%3."/>
      <w:lvlJc w:val="left"/>
      <w:pPr>
        <w:ind w:left="2919" w:hanging="720"/>
      </w:pPr>
      <w:rPr>
        <w:rFonts w:ascii="Times New Roman" w:hAnsi="Times New Roman" w:cs="Times New Roman" w:hint="default"/>
        <w:b w:val="0"/>
        <w:bCs w:val="0"/>
        <w:i w:val="0"/>
        <w:iCs w:val="0"/>
        <w:spacing w:val="0"/>
        <w:w w:val="99"/>
        <w:sz w:val="22"/>
        <w:szCs w:val="22"/>
      </w:rPr>
    </w:lvl>
    <w:lvl w:ilvl="3">
      <w:numFmt w:val="bullet"/>
      <w:lvlText w:val="•"/>
      <w:lvlJc w:val="left"/>
      <w:pPr>
        <w:ind w:left="3835" w:hanging="720"/>
      </w:pPr>
      <w:rPr>
        <w:rFonts w:hint="default"/>
      </w:rPr>
    </w:lvl>
    <w:lvl w:ilvl="4">
      <w:numFmt w:val="bullet"/>
      <w:lvlText w:val="•"/>
      <w:lvlJc w:val="left"/>
      <w:pPr>
        <w:ind w:left="4750" w:hanging="720"/>
      </w:pPr>
      <w:rPr>
        <w:rFonts w:hint="default"/>
      </w:rPr>
    </w:lvl>
    <w:lvl w:ilvl="5">
      <w:numFmt w:val="bullet"/>
      <w:lvlText w:val="•"/>
      <w:lvlJc w:val="left"/>
      <w:pPr>
        <w:ind w:left="5665" w:hanging="720"/>
      </w:pPr>
      <w:rPr>
        <w:rFonts w:hint="default"/>
      </w:rPr>
    </w:lvl>
    <w:lvl w:ilvl="6">
      <w:numFmt w:val="bullet"/>
      <w:lvlText w:val="•"/>
      <w:lvlJc w:val="left"/>
      <w:pPr>
        <w:ind w:left="6580" w:hanging="720"/>
      </w:pPr>
      <w:rPr>
        <w:rFonts w:hint="default"/>
      </w:rPr>
    </w:lvl>
    <w:lvl w:ilvl="7">
      <w:numFmt w:val="bullet"/>
      <w:lvlText w:val="•"/>
      <w:lvlJc w:val="left"/>
      <w:pPr>
        <w:ind w:left="7495" w:hanging="720"/>
      </w:pPr>
      <w:rPr>
        <w:rFonts w:hint="default"/>
      </w:rPr>
    </w:lvl>
    <w:lvl w:ilvl="8">
      <w:numFmt w:val="bullet"/>
      <w:lvlText w:val="•"/>
      <w:lvlJc w:val="left"/>
      <w:pPr>
        <w:ind w:left="8410" w:hanging="720"/>
      </w:pPr>
      <w:rPr>
        <w:rFonts w:hint="default"/>
      </w:rPr>
    </w:lvl>
  </w:abstractNum>
  <w:abstractNum w:abstractNumId="7" w15:restartNumberingAfterBreak="0">
    <w:nsid w:val="0F4F69DE"/>
    <w:multiLevelType w:val="hybridMultilevel"/>
    <w:tmpl w:val="8A58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900E6"/>
    <w:multiLevelType w:val="hybridMultilevel"/>
    <w:tmpl w:val="5448ADE2"/>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CE542F4"/>
    <w:multiLevelType w:val="hybridMultilevel"/>
    <w:tmpl w:val="8182D07C"/>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22AB33D9"/>
    <w:multiLevelType w:val="hybridMultilevel"/>
    <w:tmpl w:val="ACB405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8E1046"/>
    <w:multiLevelType w:val="hybridMultilevel"/>
    <w:tmpl w:val="09568F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741F84"/>
    <w:multiLevelType w:val="hybridMultilevel"/>
    <w:tmpl w:val="8954020C"/>
    <w:lvl w:ilvl="0" w:tplc="F274E040">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56EB3"/>
    <w:multiLevelType w:val="hybridMultilevel"/>
    <w:tmpl w:val="C3BE056A"/>
    <w:lvl w:ilvl="0" w:tplc="FFFFFFFF">
      <w:start w:val="1"/>
      <w:numFmt w:val="decimal"/>
      <w:lvlText w:val="%1."/>
      <w:lvlJc w:val="left"/>
      <w:pPr>
        <w:ind w:left="360" w:hanging="360"/>
      </w:pPr>
      <w:rPr>
        <w:rFonts w:hint="default"/>
        <w:i w:val="0"/>
        <w:iCs w:val="0"/>
      </w:rPr>
    </w:lvl>
    <w:lvl w:ilvl="1" w:tplc="FFFFFFFF">
      <w:start w:val="1"/>
      <w:numFmt w:val="decimal"/>
      <w:lvlText w:val="%2."/>
      <w:lvlJc w:val="left"/>
      <w:pPr>
        <w:ind w:left="1080" w:hanging="360"/>
      </w:p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4" w15:restartNumberingAfterBreak="0">
    <w:nsid w:val="2E2F0F88"/>
    <w:multiLevelType w:val="hybridMultilevel"/>
    <w:tmpl w:val="8BFE2C4C"/>
    <w:lvl w:ilvl="0" w:tplc="FFFFFFFF">
      <w:start w:val="32"/>
      <w:numFmt w:val="decimal"/>
      <w:lvlText w:val="%1."/>
      <w:lvlJc w:val="left"/>
      <w:pPr>
        <w:ind w:left="360" w:hanging="360"/>
      </w:pPr>
      <w:rPr>
        <w:rFonts w:hint="default"/>
      </w:rPr>
    </w:lvl>
    <w:lvl w:ilvl="1" w:tplc="FFFFFFFF">
      <w:start w:val="1"/>
      <w:numFmt w:val="lowerLetter"/>
      <w:lvlText w:val="%2."/>
      <w:lvlJc w:val="left"/>
      <w:pPr>
        <w:ind w:left="-810" w:hanging="360"/>
      </w:pPr>
    </w:lvl>
    <w:lvl w:ilvl="2" w:tplc="FFFFFFFF" w:tentative="1">
      <w:start w:val="1"/>
      <w:numFmt w:val="lowerRoman"/>
      <w:lvlText w:val="%3."/>
      <w:lvlJc w:val="right"/>
      <w:pPr>
        <w:ind w:left="-90" w:hanging="180"/>
      </w:pPr>
    </w:lvl>
    <w:lvl w:ilvl="3" w:tplc="FFFFFFFF" w:tentative="1">
      <w:start w:val="1"/>
      <w:numFmt w:val="decimal"/>
      <w:lvlText w:val="%4."/>
      <w:lvlJc w:val="left"/>
      <w:pPr>
        <w:ind w:left="630" w:hanging="360"/>
      </w:pPr>
    </w:lvl>
    <w:lvl w:ilvl="4" w:tplc="FFFFFFFF" w:tentative="1">
      <w:start w:val="1"/>
      <w:numFmt w:val="lowerLetter"/>
      <w:lvlText w:val="%5."/>
      <w:lvlJc w:val="left"/>
      <w:pPr>
        <w:ind w:left="1350" w:hanging="360"/>
      </w:pPr>
    </w:lvl>
    <w:lvl w:ilvl="5" w:tplc="FFFFFFFF" w:tentative="1">
      <w:start w:val="1"/>
      <w:numFmt w:val="lowerRoman"/>
      <w:lvlText w:val="%6."/>
      <w:lvlJc w:val="right"/>
      <w:pPr>
        <w:ind w:left="2070" w:hanging="180"/>
      </w:pPr>
    </w:lvl>
    <w:lvl w:ilvl="6" w:tplc="FFFFFFFF" w:tentative="1">
      <w:start w:val="1"/>
      <w:numFmt w:val="decimal"/>
      <w:lvlText w:val="%7."/>
      <w:lvlJc w:val="left"/>
      <w:pPr>
        <w:ind w:left="2790" w:hanging="360"/>
      </w:pPr>
    </w:lvl>
    <w:lvl w:ilvl="7" w:tplc="FFFFFFFF" w:tentative="1">
      <w:start w:val="1"/>
      <w:numFmt w:val="lowerLetter"/>
      <w:lvlText w:val="%8."/>
      <w:lvlJc w:val="left"/>
      <w:pPr>
        <w:ind w:left="3510" w:hanging="360"/>
      </w:pPr>
    </w:lvl>
    <w:lvl w:ilvl="8" w:tplc="FFFFFFFF" w:tentative="1">
      <w:start w:val="1"/>
      <w:numFmt w:val="lowerRoman"/>
      <w:lvlText w:val="%9."/>
      <w:lvlJc w:val="right"/>
      <w:pPr>
        <w:ind w:left="4230" w:hanging="180"/>
      </w:pPr>
    </w:lvl>
  </w:abstractNum>
  <w:abstractNum w:abstractNumId="15" w15:restartNumberingAfterBreak="0">
    <w:nsid w:val="321C0860"/>
    <w:multiLevelType w:val="hybridMultilevel"/>
    <w:tmpl w:val="BEBA6BF6"/>
    <w:lvl w:ilvl="0" w:tplc="8F3EAB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D524B"/>
    <w:multiLevelType w:val="singleLevel"/>
    <w:tmpl w:val="A5588AAC"/>
    <w:lvl w:ilvl="0">
      <w:start w:val="63"/>
      <w:numFmt w:val="decimal"/>
      <w:lvlText w:val="%1."/>
      <w:lvlJc w:val="left"/>
      <w:pPr>
        <w:tabs>
          <w:tab w:val="num" w:pos="720"/>
        </w:tabs>
        <w:ind w:left="720" w:hanging="720"/>
      </w:pPr>
      <w:rPr>
        <w:rFonts w:hint="default"/>
      </w:rPr>
    </w:lvl>
  </w:abstractNum>
  <w:abstractNum w:abstractNumId="17" w15:restartNumberingAfterBreak="0">
    <w:nsid w:val="388D41C2"/>
    <w:multiLevelType w:val="hybridMultilevel"/>
    <w:tmpl w:val="D124101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EFD3CBF"/>
    <w:multiLevelType w:val="hybridMultilevel"/>
    <w:tmpl w:val="C3BE056A"/>
    <w:lvl w:ilvl="0" w:tplc="40240BB0">
      <w:start w:val="1"/>
      <w:numFmt w:val="decimal"/>
      <w:lvlText w:val="%1."/>
      <w:lvlJc w:val="left"/>
      <w:pPr>
        <w:ind w:left="-4320" w:hanging="360"/>
      </w:pPr>
      <w:rPr>
        <w:rFonts w:hint="default"/>
        <w:i w:val="0"/>
        <w:iCs w:val="0"/>
      </w:rPr>
    </w:lvl>
    <w:lvl w:ilvl="1" w:tplc="0409000F">
      <w:start w:val="1"/>
      <w:numFmt w:val="decimal"/>
      <w:lvlText w:val="%2."/>
      <w:lvlJc w:val="left"/>
      <w:pPr>
        <w:ind w:left="-3600" w:hanging="360"/>
      </w:p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1440" w:hanging="360"/>
      </w:pPr>
      <w:rPr>
        <w:rFonts w:ascii="Courier New" w:hAnsi="Courier New" w:cs="Courier New" w:hint="default"/>
      </w:rPr>
    </w:lvl>
    <w:lvl w:ilvl="5" w:tplc="04090005">
      <w:start w:val="1"/>
      <w:numFmt w:val="bullet"/>
      <w:lvlText w:val=""/>
      <w:lvlJc w:val="left"/>
      <w:pPr>
        <w:ind w:left="-720" w:hanging="360"/>
      </w:pPr>
      <w:rPr>
        <w:rFonts w:ascii="Wingdings" w:hAnsi="Wingdings" w:hint="default"/>
      </w:rPr>
    </w:lvl>
    <w:lvl w:ilvl="6" w:tplc="04090001">
      <w:start w:val="1"/>
      <w:numFmt w:val="bullet"/>
      <w:lvlText w:val=""/>
      <w:lvlJc w:val="left"/>
      <w:pPr>
        <w:ind w:left="0" w:hanging="360"/>
      </w:pPr>
      <w:rPr>
        <w:rFonts w:ascii="Symbol" w:hAnsi="Symbol" w:hint="default"/>
      </w:rPr>
    </w:lvl>
    <w:lvl w:ilvl="7" w:tplc="04090003">
      <w:start w:val="1"/>
      <w:numFmt w:val="bullet"/>
      <w:lvlText w:val="o"/>
      <w:lvlJc w:val="left"/>
      <w:pPr>
        <w:ind w:left="720" w:hanging="360"/>
      </w:pPr>
      <w:rPr>
        <w:rFonts w:ascii="Courier New" w:hAnsi="Courier New" w:cs="Courier New" w:hint="default"/>
      </w:rPr>
    </w:lvl>
    <w:lvl w:ilvl="8" w:tplc="04090005">
      <w:start w:val="1"/>
      <w:numFmt w:val="bullet"/>
      <w:lvlText w:val=""/>
      <w:lvlJc w:val="left"/>
      <w:pPr>
        <w:ind w:left="1440" w:hanging="360"/>
      </w:pPr>
      <w:rPr>
        <w:rFonts w:ascii="Wingdings" w:hAnsi="Wingdings" w:hint="default"/>
      </w:rPr>
    </w:lvl>
  </w:abstractNum>
  <w:abstractNum w:abstractNumId="19" w15:restartNumberingAfterBreak="0">
    <w:nsid w:val="453D6992"/>
    <w:multiLevelType w:val="singleLevel"/>
    <w:tmpl w:val="B6C656D6"/>
    <w:lvl w:ilvl="0">
      <w:start w:val="1"/>
      <w:numFmt w:val="lowerLetter"/>
      <w:lvlText w:val="%1."/>
      <w:legacy w:legacy="1" w:legacySpace="0" w:legacyIndent="720"/>
      <w:lvlJc w:val="left"/>
      <w:pPr>
        <w:ind w:left="1440" w:hanging="720"/>
      </w:pPr>
    </w:lvl>
  </w:abstractNum>
  <w:abstractNum w:abstractNumId="20" w15:restartNumberingAfterBreak="0">
    <w:nsid w:val="46892B5D"/>
    <w:multiLevelType w:val="hybridMultilevel"/>
    <w:tmpl w:val="86223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61010"/>
    <w:multiLevelType w:val="multilevel"/>
    <w:tmpl w:val="C63EC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9B6402"/>
    <w:multiLevelType w:val="hybridMultilevel"/>
    <w:tmpl w:val="AF70EDE0"/>
    <w:lvl w:ilvl="0" w:tplc="FFFFFFFF">
      <w:start w:val="22"/>
      <w:numFmt w:val="decimal"/>
      <w:lvlText w:val="%1."/>
      <w:lvlJc w:val="left"/>
      <w:pPr>
        <w:ind w:left="360" w:hanging="360"/>
      </w:pPr>
      <w:rPr>
        <w:rFonts w:hint="default"/>
      </w:rPr>
    </w:lvl>
    <w:lvl w:ilvl="1" w:tplc="FFFFFFFF">
      <w:start w:val="1"/>
      <w:numFmt w:val="lowerLetter"/>
      <w:lvlText w:val="%2."/>
      <w:lvlJc w:val="left"/>
      <w:pPr>
        <w:ind w:left="-810" w:hanging="360"/>
      </w:pPr>
    </w:lvl>
    <w:lvl w:ilvl="2" w:tplc="FFFFFFFF" w:tentative="1">
      <w:start w:val="1"/>
      <w:numFmt w:val="lowerRoman"/>
      <w:lvlText w:val="%3."/>
      <w:lvlJc w:val="right"/>
      <w:pPr>
        <w:ind w:left="-90" w:hanging="180"/>
      </w:pPr>
    </w:lvl>
    <w:lvl w:ilvl="3" w:tplc="FFFFFFFF" w:tentative="1">
      <w:start w:val="1"/>
      <w:numFmt w:val="decimal"/>
      <w:lvlText w:val="%4."/>
      <w:lvlJc w:val="left"/>
      <w:pPr>
        <w:ind w:left="630" w:hanging="360"/>
      </w:pPr>
    </w:lvl>
    <w:lvl w:ilvl="4" w:tplc="FFFFFFFF" w:tentative="1">
      <w:start w:val="1"/>
      <w:numFmt w:val="lowerLetter"/>
      <w:lvlText w:val="%5."/>
      <w:lvlJc w:val="left"/>
      <w:pPr>
        <w:ind w:left="1350" w:hanging="360"/>
      </w:pPr>
    </w:lvl>
    <w:lvl w:ilvl="5" w:tplc="FFFFFFFF" w:tentative="1">
      <w:start w:val="1"/>
      <w:numFmt w:val="lowerRoman"/>
      <w:lvlText w:val="%6."/>
      <w:lvlJc w:val="right"/>
      <w:pPr>
        <w:ind w:left="2070" w:hanging="180"/>
      </w:pPr>
    </w:lvl>
    <w:lvl w:ilvl="6" w:tplc="FFFFFFFF" w:tentative="1">
      <w:start w:val="1"/>
      <w:numFmt w:val="decimal"/>
      <w:lvlText w:val="%7."/>
      <w:lvlJc w:val="left"/>
      <w:pPr>
        <w:ind w:left="2790" w:hanging="360"/>
      </w:pPr>
    </w:lvl>
    <w:lvl w:ilvl="7" w:tplc="FFFFFFFF" w:tentative="1">
      <w:start w:val="1"/>
      <w:numFmt w:val="lowerLetter"/>
      <w:lvlText w:val="%8."/>
      <w:lvlJc w:val="left"/>
      <w:pPr>
        <w:ind w:left="3510" w:hanging="360"/>
      </w:pPr>
    </w:lvl>
    <w:lvl w:ilvl="8" w:tplc="FFFFFFFF" w:tentative="1">
      <w:start w:val="1"/>
      <w:numFmt w:val="lowerRoman"/>
      <w:lvlText w:val="%9."/>
      <w:lvlJc w:val="right"/>
      <w:pPr>
        <w:ind w:left="4230" w:hanging="180"/>
      </w:pPr>
    </w:lvl>
  </w:abstractNum>
  <w:abstractNum w:abstractNumId="23" w15:restartNumberingAfterBreak="0">
    <w:nsid w:val="6D65122C"/>
    <w:multiLevelType w:val="hybridMultilevel"/>
    <w:tmpl w:val="858E3A44"/>
    <w:lvl w:ilvl="0" w:tplc="3438AF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E934B08"/>
    <w:multiLevelType w:val="multilevel"/>
    <w:tmpl w:val="811483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C16FA5"/>
    <w:multiLevelType w:val="hybridMultilevel"/>
    <w:tmpl w:val="2940C2B2"/>
    <w:lvl w:ilvl="0" w:tplc="7D7A32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26B448E"/>
    <w:multiLevelType w:val="hybridMultilevel"/>
    <w:tmpl w:val="7482F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CB3A87"/>
    <w:multiLevelType w:val="hybridMultilevel"/>
    <w:tmpl w:val="50A05C52"/>
    <w:lvl w:ilvl="0" w:tplc="FFFFFFFF">
      <w:start w:val="1"/>
      <w:numFmt w:val="lowerRoman"/>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8" w15:restartNumberingAfterBreak="0">
    <w:nsid w:val="7B49015E"/>
    <w:multiLevelType w:val="multilevel"/>
    <w:tmpl w:val="FFFFFFFF"/>
    <w:lvl w:ilvl="0">
      <w:start w:val="13"/>
      <w:numFmt w:val="decimal"/>
      <w:lvlText w:val="%1."/>
      <w:lvlJc w:val="left"/>
      <w:pPr>
        <w:ind w:left="120" w:hanging="720"/>
      </w:pPr>
      <w:rPr>
        <w:rFonts w:ascii="Times New Roman" w:hAnsi="Times New Roman" w:cs="Times New Roman"/>
        <w:b w:val="0"/>
        <w:bCs w:val="0"/>
        <w:i w:val="0"/>
        <w:iCs w:val="0"/>
        <w:spacing w:val="0"/>
        <w:w w:val="99"/>
        <w:sz w:val="22"/>
        <w:szCs w:val="22"/>
      </w:rPr>
    </w:lvl>
    <w:lvl w:ilvl="1">
      <w:start w:val="1"/>
      <w:numFmt w:val="lowerLetter"/>
      <w:lvlText w:val="%2."/>
      <w:lvlJc w:val="left"/>
      <w:pPr>
        <w:ind w:left="1559" w:hanging="720"/>
      </w:pPr>
      <w:rPr>
        <w:rFonts w:ascii="Times New Roman" w:hAnsi="Times New Roman" w:cs="Times New Roman"/>
        <w:b w:val="0"/>
        <w:bCs w:val="0"/>
        <w:i w:val="0"/>
        <w:iCs w:val="0"/>
        <w:spacing w:val="-1"/>
        <w:w w:val="99"/>
        <w:sz w:val="22"/>
        <w:szCs w:val="22"/>
      </w:rPr>
    </w:lvl>
    <w:lvl w:ilvl="2">
      <w:start w:val="1"/>
      <w:numFmt w:val="lowerRoman"/>
      <w:lvlText w:val="%3."/>
      <w:lvlJc w:val="left"/>
      <w:pPr>
        <w:ind w:left="2279" w:hanging="720"/>
      </w:pPr>
      <w:rPr>
        <w:rFonts w:ascii="Times New Roman" w:hAnsi="Times New Roman" w:cs="Times New Roman"/>
        <w:b w:val="0"/>
        <w:bCs w:val="0"/>
        <w:i w:val="0"/>
        <w:iCs w:val="0"/>
        <w:spacing w:val="0"/>
        <w:w w:val="99"/>
        <w:sz w:val="22"/>
        <w:szCs w:val="22"/>
      </w:rPr>
    </w:lvl>
    <w:lvl w:ilvl="3">
      <w:numFmt w:val="bullet"/>
      <w:lvlText w:val="•"/>
      <w:lvlJc w:val="left"/>
      <w:pPr>
        <w:ind w:left="3195" w:hanging="720"/>
      </w:pPr>
    </w:lvl>
    <w:lvl w:ilvl="4">
      <w:numFmt w:val="bullet"/>
      <w:lvlText w:val="•"/>
      <w:lvlJc w:val="left"/>
      <w:pPr>
        <w:ind w:left="4110" w:hanging="720"/>
      </w:pPr>
    </w:lvl>
    <w:lvl w:ilvl="5">
      <w:numFmt w:val="bullet"/>
      <w:lvlText w:val="•"/>
      <w:lvlJc w:val="left"/>
      <w:pPr>
        <w:ind w:left="5025" w:hanging="720"/>
      </w:pPr>
    </w:lvl>
    <w:lvl w:ilvl="6">
      <w:numFmt w:val="bullet"/>
      <w:lvlText w:val="•"/>
      <w:lvlJc w:val="left"/>
      <w:pPr>
        <w:ind w:left="5940" w:hanging="720"/>
      </w:pPr>
    </w:lvl>
    <w:lvl w:ilvl="7">
      <w:numFmt w:val="bullet"/>
      <w:lvlText w:val="•"/>
      <w:lvlJc w:val="left"/>
      <w:pPr>
        <w:ind w:left="6855" w:hanging="720"/>
      </w:pPr>
    </w:lvl>
    <w:lvl w:ilvl="8">
      <w:numFmt w:val="bullet"/>
      <w:lvlText w:val="•"/>
      <w:lvlJc w:val="left"/>
      <w:pPr>
        <w:ind w:left="7770" w:hanging="720"/>
      </w:pPr>
    </w:lvl>
  </w:abstractNum>
  <w:abstractNum w:abstractNumId="29" w15:restartNumberingAfterBreak="0">
    <w:nsid w:val="7DBC5D86"/>
    <w:multiLevelType w:val="hybridMultilevel"/>
    <w:tmpl w:val="4888FACC"/>
    <w:lvl w:ilvl="0" w:tplc="E2427CB0">
      <w:start w:val="21"/>
      <w:numFmt w:val="decimal"/>
      <w:pStyle w:val="ListContinued"/>
      <w:lvlText w:val="%1."/>
      <w:lvlJc w:val="left"/>
      <w:pPr>
        <w:ind w:left="360" w:hanging="360"/>
      </w:pPr>
      <w:rPr>
        <w:rFonts w:hint="default"/>
        <w:b w:val="0"/>
        <w:bCs w:val="0"/>
      </w:rPr>
    </w:lvl>
    <w:lvl w:ilvl="1" w:tplc="950C863A">
      <w:start w:val="1"/>
      <w:numFmt w:val="lowerLetter"/>
      <w:lvlText w:val="%2."/>
      <w:lvlJc w:val="left"/>
      <w:pPr>
        <w:ind w:left="1080" w:hanging="360"/>
      </w:pPr>
      <w:rPr>
        <w:b w:val="0"/>
        <w:bCs w:val="0"/>
      </w:rPr>
    </w:lvl>
    <w:lvl w:ilvl="2" w:tplc="9D347190">
      <w:start w:val="1"/>
      <w:numFmt w:val="lowerRoman"/>
      <w:lvlText w:val="%3."/>
      <w:lvlJc w:val="left"/>
      <w:pPr>
        <w:ind w:left="1800" w:hanging="18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09506108">
    <w:abstractNumId w:val="0"/>
  </w:num>
  <w:num w:numId="2" w16cid:durableId="783041060">
    <w:abstractNumId w:val="18"/>
  </w:num>
  <w:num w:numId="3" w16cid:durableId="979765454">
    <w:abstractNumId w:val="18"/>
  </w:num>
  <w:num w:numId="4" w16cid:durableId="321588090">
    <w:abstractNumId w:val="8"/>
  </w:num>
  <w:num w:numId="5" w16cid:durableId="1953242180">
    <w:abstractNumId w:val="5"/>
  </w:num>
  <w:num w:numId="6" w16cid:durableId="1952514640">
    <w:abstractNumId w:val="1"/>
  </w:num>
  <w:num w:numId="7" w16cid:durableId="534730648">
    <w:abstractNumId w:val="28"/>
  </w:num>
  <w:num w:numId="8" w16cid:durableId="1573738759">
    <w:abstractNumId w:val="3"/>
  </w:num>
  <w:num w:numId="9" w16cid:durableId="69353235">
    <w:abstractNumId w:val="6"/>
  </w:num>
  <w:num w:numId="10" w16cid:durableId="1152067053">
    <w:abstractNumId w:val="11"/>
  </w:num>
  <w:num w:numId="11" w16cid:durableId="250893931">
    <w:abstractNumId w:val="17"/>
  </w:num>
  <w:num w:numId="12" w16cid:durableId="1975208660">
    <w:abstractNumId w:val="22"/>
  </w:num>
  <w:num w:numId="13" w16cid:durableId="234316292">
    <w:abstractNumId w:val="14"/>
  </w:num>
  <w:num w:numId="14" w16cid:durableId="378434724">
    <w:abstractNumId w:val="27"/>
  </w:num>
  <w:num w:numId="15" w16cid:durableId="999310326">
    <w:abstractNumId w:val="16"/>
  </w:num>
  <w:num w:numId="16" w16cid:durableId="229509128">
    <w:abstractNumId w:val="29"/>
  </w:num>
  <w:num w:numId="17" w16cid:durableId="1405489337">
    <w:abstractNumId w:val="29"/>
    <w:lvlOverride w:ilvl="0">
      <w:startOverride w:val="23"/>
    </w:lvlOverride>
  </w:num>
  <w:num w:numId="18" w16cid:durableId="1653949157">
    <w:abstractNumId w:val="19"/>
  </w:num>
  <w:num w:numId="19" w16cid:durableId="146822490">
    <w:abstractNumId w:val="9"/>
  </w:num>
  <w:num w:numId="20" w16cid:durableId="138572557">
    <w:abstractNumId w:val="13"/>
  </w:num>
  <w:num w:numId="21" w16cid:durableId="827401731">
    <w:abstractNumId w:val="26"/>
  </w:num>
  <w:num w:numId="22" w16cid:durableId="372466404">
    <w:abstractNumId w:val="2"/>
  </w:num>
  <w:num w:numId="23" w16cid:durableId="6371550">
    <w:abstractNumId w:val="21"/>
  </w:num>
  <w:num w:numId="24" w16cid:durableId="1888909561">
    <w:abstractNumId w:val="15"/>
  </w:num>
  <w:num w:numId="25" w16cid:durableId="764038868">
    <w:abstractNumId w:val="24"/>
  </w:num>
  <w:num w:numId="26" w16cid:durableId="364982154">
    <w:abstractNumId w:val="7"/>
  </w:num>
  <w:num w:numId="27" w16cid:durableId="1322780024">
    <w:abstractNumId w:val="4"/>
  </w:num>
  <w:num w:numId="28" w16cid:durableId="1174421793">
    <w:abstractNumId w:val="20"/>
  </w:num>
  <w:num w:numId="29" w16cid:durableId="631056994">
    <w:abstractNumId w:val="12"/>
  </w:num>
  <w:num w:numId="30" w16cid:durableId="2047482554">
    <w:abstractNumId w:val="23"/>
  </w:num>
  <w:num w:numId="31" w16cid:durableId="1738671319">
    <w:abstractNumId w:val="10"/>
  </w:num>
  <w:num w:numId="32" w16cid:durableId="1405909028">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3B5"/>
    <w:rsid w:val="00002CBE"/>
    <w:rsid w:val="00005407"/>
    <w:rsid w:val="00005622"/>
    <w:rsid w:val="00005B13"/>
    <w:rsid w:val="00005F75"/>
    <w:rsid w:val="00006124"/>
    <w:rsid w:val="00006480"/>
    <w:rsid w:val="00006DB8"/>
    <w:rsid w:val="00010DEC"/>
    <w:rsid w:val="00013078"/>
    <w:rsid w:val="00014402"/>
    <w:rsid w:val="00014442"/>
    <w:rsid w:val="00015F79"/>
    <w:rsid w:val="0001656B"/>
    <w:rsid w:val="00020177"/>
    <w:rsid w:val="00021D71"/>
    <w:rsid w:val="00021FB9"/>
    <w:rsid w:val="00022E62"/>
    <w:rsid w:val="00023F27"/>
    <w:rsid w:val="00025857"/>
    <w:rsid w:val="00026228"/>
    <w:rsid w:val="00027286"/>
    <w:rsid w:val="000312B2"/>
    <w:rsid w:val="00031FDF"/>
    <w:rsid w:val="00035DF7"/>
    <w:rsid w:val="000421D8"/>
    <w:rsid w:val="00047D2D"/>
    <w:rsid w:val="00047E92"/>
    <w:rsid w:val="0005529F"/>
    <w:rsid w:val="000561B6"/>
    <w:rsid w:val="0005687B"/>
    <w:rsid w:val="00056BC4"/>
    <w:rsid w:val="00057281"/>
    <w:rsid w:val="000631C1"/>
    <w:rsid w:val="000639D6"/>
    <w:rsid w:val="000643B6"/>
    <w:rsid w:val="00065159"/>
    <w:rsid w:val="00066F99"/>
    <w:rsid w:val="00067D4D"/>
    <w:rsid w:val="000704BD"/>
    <w:rsid w:val="0007115C"/>
    <w:rsid w:val="0007135A"/>
    <w:rsid w:val="00076C2C"/>
    <w:rsid w:val="0008018D"/>
    <w:rsid w:val="000801DC"/>
    <w:rsid w:val="00080545"/>
    <w:rsid w:val="00082D18"/>
    <w:rsid w:val="00083A54"/>
    <w:rsid w:val="00085273"/>
    <w:rsid w:val="0008527E"/>
    <w:rsid w:val="00085800"/>
    <w:rsid w:val="00087432"/>
    <w:rsid w:val="000878AD"/>
    <w:rsid w:val="000902EE"/>
    <w:rsid w:val="00090C9D"/>
    <w:rsid w:val="00090EFB"/>
    <w:rsid w:val="000910FB"/>
    <w:rsid w:val="000912F9"/>
    <w:rsid w:val="000937F5"/>
    <w:rsid w:val="00095EE7"/>
    <w:rsid w:val="00096125"/>
    <w:rsid w:val="00096E7E"/>
    <w:rsid w:val="0009794D"/>
    <w:rsid w:val="00097D38"/>
    <w:rsid w:val="000A1ACE"/>
    <w:rsid w:val="000A1B2D"/>
    <w:rsid w:val="000A2587"/>
    <w:rsid w:val="000B2EA9"/>
    <w:rsid w:val="000B335F"/>
    <w:rsid w:val="000B4058"/>
    <w:rsid w:val="000B4C84"/>
    <w:rsid w:val="000B5FF7"/>
    <w:rsid w:val="000B6BCE"/>
    <w:rsid w:val="000B6C12"/>
    <w:rsid w:val="000B75CB"/>
    <w:rsid w:val="000B7DEA"/>
    <w:rsid w:val="000C096B"/>
    <w:rsid w:val="000C15F4"/>
    <w:rsid w:val="000C1E2B"/>
    <w:rsid w:val="000C4347"/>
    <w:rsid w:val="000D2472"/>
    <w:rsid w:val="000D5667"/>
    <w:rsid w:val="000D636C"/>
    <w:rsid w:val="000E22F2"/>
    <w:rsid w:val="000E2D44"/>
    <w:rsid w:val="000E36F9"/>
    <w:rsid w:val="000E4ADD"/>
    <w:rsid w:val="000F21E8"/>
    <w:rsid w:val="000F3C56"/>
    <w:rsid w:val="000F7234"/>
    <w:rsid w:val="000F7C3F"/>
    <w:rsid w:val="000F7C62"/>
    <w:rsid w:val="00100181"/>
    <w:rsid w:val="00102D60"/>
    <w:rsid w:val="00104419"/>
    <w:rsid w:val="00105481"/>
    <w:rsid w:val="001059D8"/>
    <w:rsid w:val="00106002"/>
    <w:rsid w:val="001067FB"/>
    <w:rsid w:val="001105AD"/>
    <w:rsid w:val="00111DB8"/>
    <w:rsid w:val="00114E74"/>
    <w:rsid w:val="00115CE1"/>
    <w:rsid w:val="00117A91"/>
    <w:rsid w:val="00120F1C"/>
    <w:rsid w:val="001211D7"/>
    <w:rsid w:val="00121216"/>
    <w:rsid w:val="00123670"/>
    <w:rsid w:val="00126CFC"/>
    <w:rsid w:val="001308E6"/>
    <w:rsid w:val="001321B5"/>
    <w:rsid w:val="0013272C"/>
    <w:rsid w:val="00133440"/>
    <w:rsid w:val="0013602B"/>
    <w:rsid w:val="00136A41"/>
    <w:rsid w:val="00140902"/>
    <w:rsid w:val="00140B12"/>
    <w:rsid w:val="00141182"/>
    <w:rsid w:val="00142CFD"/>
    <w:rsid w:val="0014587E"/>
    <w:rsid w:val="00145ADA"/>
    <w:rsid w:val="001464EC"/>
    <w:rsid w:val="00147967"/>
    <w:rsid w:val="00147B72"/>
    <w:rsid w:val="001511B3"/>
    <w:rsid w:val="0015240C"/>
    <w:rsid w:val="00153C1C"/>
    <w:rsid w:val="00154018"/>
    <w:rsid w:val="00154899"/>
    <w:rsid w:val="00154EB4"/>
    <w:rsid w:val="00155B4F"/>
    <w:rsid w:val="0016048D"/>
    <w:rsid w:val="00163814"/>
    <w:rsid w:val="00164775"/>
    <w:rsid w:val="00166305"/>
    <w:rsid w:val="00166662"/>
    <w:rsid w:val="00167C99"/>
    <w:rsid w:val="001710F7"/>
    <w:rsid w:val="001713B5"/>
    <w:rsid w:val="00171BD1"/>
    <w:rsid w:val="0017378B"/>
    <w:rsid w:val="0017487B"/>
    <w:rsid w:val="0017491B"/>
    <w:rsid w:val="0017648C"/>
    <w:rsid w:val="001773F0"/>
    <w:rsid w:val="00177C2B"/>
    <w:rsid w:val="00180BF7"/>
    <w:rsid w:val="0018131C"/>
    <w:rsid w:val="0018255F"/>
    <w:rsid w:val="00183F87"/>
    <w:rsid w:val="0018466E"/>
    <w:rsid w:val="0018680A"/>
    <w:rsid w:val="00190462"/>
    <w:rsid w:val="0019065E"/>
    <w:rsid w:val="00190926"/>
    <w:rsid w:val="0019258F"/>
    <w:rsid w:val="00192BAD"/>
    <w:rsid w:val="00194604"/>
    <w:rsid w:val="00194916"/>
    <w:rsid w:val="00195185"/>
    <w:rsid w:val="001A14FA"/>
    <w:rsid w:val="001A1BB7"/>
    <w:rsid w:val="001A2B21"/>
    <w:rsid w:val="001A4D41"/>
    <w:rsid w:val="001A53B6"/>
    <w:rsid w:val="001A554A"/>
    <w:rsid w:val="001A568A"/>
    <w:rsid w:val="001A5817"/>
    <w:rsid w:val="001A5EA2"/>
    <w:rsid w:val="001B23F2"/>
    <w:rsid w:val="001B2EFC"/>
    <w:rsid w:val="001B3334"/>
    <w:rsid w:val="001B3375"/>
    <w:rsid w:val="001B4F69"/>
    <w:rsid w:val="001B52B6"/>
    <w:rsid w:val="001B77A3"/>
    <w:rsid w:val="001C1069"/>
    <w:rsid w:val="001C3FF3"/>
    <w:rsid w:val="001C4AA3"/>
    <w:rsid w:val="001C7362"/>
    <w:rsid w:val="001D3C80"/>
    <w:rsid w:val="001D4460"/>
    <w:rsid w:val="001D580C"/>
    <w:rsid w:val="001E14D0"/>
    <w:rsid w:val="001E1C94"/>
    <w:rsid w:val="001E24CF"/>
    <w:rsid w:val="001E4A7F"/>
    <w:rsid w:val="001E6E56"/>
    <w:rsid w:val="001E7A39"/>
    <w:rsid w:val="001F328D"/>
    <w:rsid w:val="001F40C1"/>
    <w:rsid w:val="001F4A0F"/>
    <w:rsid w:val="001F5698"/>
    <w:rsid w:val="001F6315"/>
    <w:rsid w:val="001F65E3"/>
    <w:rsid w:val="00200E00"/>
    <w:rsid w:val="00201172"/>
    <w:rsid w:val="00201ED4"/>
    <w:rsid w:val="00207FF4"/>
    <w:rsid w:val="00210494"/>
    <w:rsid w:val="002105BF"/>
    <w:rsid w:val="00211B1B"/>
    <w:rsid w:val="00213719"/>
    <w:rsid w:val="00213A46"/>
    <w:rsid w:val="00214508"/>
    <w:rsid w:val="00215605"/>
    <w:rsid w:val="00216D6C"/>
    <w:rsid w:val="00217E9B"/>
    <w:rsid w:val="00222253"/>
    <w:rsid w:val="00224D53"/>
    <w:rsid w:val="00226E70"/>
    <w:rsid w:val="002305A6"/>
    <w:rsid w:val="00230F54"/>
    <w:rsid w:val="002324DC"/>
    <w:rsid w:val="00232E1B"/>
    <w:rsid w:val="00232F87"/>
    <w:rsid w:val="00233D49"/>
    <w:rsid w:val="00234E77"/>
    <w:rsid w:val="002350FC"/>
    <w:rsid w:val="00235A0E"/>
    <w:rsid w:val="0023665C"/>
    <w:rsid w:val="00236B8B"/>
    <w:rsid w:val="0024135B"/>
    <w:rsid w:val="0024138D"/>
    <w:rsid w:val="002413EF"/>
    <w:rsid w:val="00244C13"/>
    <w:rsid w:val="00245974"/>
    <w:rsid w:val="00246C58"/>
    <w:rsid w:val="002479CB"/>
    <w:rsid w:val="002500DF"/>
    <w:rsid w:val="00253404"/>
    <w:rsid w:val="00254A93"/>
    <w:rsid w:val="00254C3D"/>
    <w:rsid w:val="00254FCA"/>
    <w:rsid w:val="00257AC6"/>
    <w:rsid w:val="00264AD1"/>
    <w:rsid w:val="0026686B"/>
    <w:rsid w:val="0026746E"/>
    <w:rsid w:val="00267645"/>
    <w:rsid w:val="00267A21"/>
    <w:rsid w:val="00267B77"/>
    <w:rsid w:val="002711EA"/>
    <w:rsid w:val="00272B6B"/>
    <w:rsid w:val="00272BFB"/>
    <w:rsid w:val="00272CC6"/>
    <w:rsid w:val="00274131"/>
    <w:rsid w:val="002751C4"/>
    <w:rsid w:val="0027538A"/>
    <w:rsid w:val="00275C15"/>
    <w:rsid w:val="00276FAA"/>
    <w:rsid w:val="00277021"/>
    <w:rsid w:val="00280460"/>
    <w:rsid w:val="00281DA4"/>
    <w:rsid w:val="00285820"/>
    <w:rsid w:val="002861FB"/>
    <w:rsid w:val="0028706E"/>
    <w:rsid w:val="0028725E"/>
    <w:rsid w:val="00287D4E"/>
    <w:rsid w:val="00292C82"/>
    <w:rsid w:val="00292F8B"/>
    <w:rsid w:val="002935B6"/>
    <w:rsid w:val="002956F8"/>
    <w:rsid w:val="00296D3F"/>
    <w:rsid w:val="002979B2"/>
    <w:rsid w:val="00297C6B"/>
    <w:rsid w:val="002A1E07"/>
    <w:rsid w:val="002A229C"/>
    <w:rsid w:val="002A2AB0"/>
    <w:rsid w:val="002A318F"/>
    <w:rsid w:val="002A3A83"/>
    <w:rsid w:val="002A7663"/>
    <w:rsid w:val="002A7CEE"/>
    <w:rsid w:val="002B0712"/>
    <w:rsid w:val="002B1835"/>
    <w:rsid w:val="002B43D1"/>
    <w:rsid w:val="002C037C"/>
    <w:rsid w:val="002C09D2"/>
    <w:rsid w:val="002C0B7E"/>
    <w:rsid w:val="002C3BF3"/>
    <w:rsid w:val="002C451C"/>
    <w:rsid w:val="002C47C8"/>
    <w:rsid w:val="002C6D31"/>
    <w:rsid w:val="002C720A"/>
    <w:rsid w:val="002D1DFB"/>
    <w:rsid w:val="002D2213"/>
    <w:rsid w:val="002D273F"/>
    <w:rsid w:val="002D449E"/>
    <w:rsid w:val="002D5837"/>
    <w:rsid w:val="002D61DE"/>
    <w:rsid w:val="002D62A8"/>
    <w:rsid w:val="002D667E"/>
    <w:rsid w:val="002D71D1"/>
    <w:rsid w:val="002E0C90"/>
    <w:rsid w:val="002E2607"/>
    <w:rsid w:val="002E2ACE"/>
    <w:rsid w:val="002E67F1"/>
    <w:rsid w:val="002E7093"/>
    <w:rsid w:val="002F09A5"/>
    <w:rsid w:val="002F0CB1"/>
    <w:rsid w:val="002F0FCC"/>
    <w:rsid w:val="002F1062"/>
    <w:rsid w:val="002F2F4A"/>
    <w:rsid w:val="002F6787"/>
    <w:rsid w:val="002F681C"/>
    <w:rsid w:val="00301BA9"/>
    <w:rsid w:val="0030225F"/>
    <w:rsid w:val="003035E0"/>
    <w:rsid w:val="0030385D"/>
    <w:rsid w:val="00311B5D"/>
    <w:rsid w:val="003159AA"/>
    <w:rsid w:val="00317952"/>
    <w:rsid w:val="003203E5"/>
    <w:rsid w:val="00323B35"/>
    <w:rsid w:val="003248C8"/>
    <w:rsid w:val="0032682B"/>
    <w:rsid w:val="0033072C"/>
    <w:rsid w:val="00330ED4"/>
    <w:rsid w:val="00330FB4"/>
    <w:rsid w:val="003315C8"/>
    <w:rsid w:val="00331FDA"/>
    <w:rsid w:val="00336BB6"/>
    <w:rsid w:val="00336C8C"/>
    <w:rsid w:val="00337550"/>
    <w:rsid w:val="00341032"/>
    <w:rsid w:val="00341FBE"/>
    <w:rsid w:val="0034270F"/>
    <w:rsid w:val="0034284A"/>
    <w:rsid w:val="003447DC"/>
    <w:rsid w:val="00344820"/>
    <w:rsid w:val="003454CC"/>
    <w:rsid w:val="00346143"/>
    <w:rsid w:val="00346264"/>
    <w:rsid w:val="003463B5"/>
    <w:rsid w:val="00346729"/>
    <w:rsid w:val="00346AC1"/>
    <w:rsid w:val="00350814"/>
    <w:rsid w:val="003535A8"/>
    <w:rsid w:val="003536A9"/>
    <w:rsid w:val="00357513"/>
    <w:rsid w:val="0035EFC9"/>
    <w:rsid w:val="00360DB7"/>
    <w:rsid w:val="003613D1"/>
    <w:rsid w:val="00363842"/>
    <w:rsid w:val="00363B56"/>
    <w:rsid w:val="003653D7"/>
    <w:rsid w:val="00365E61"/>
    <w:rsid w:val="0037322F"/>
    <w:rsid w:val="0037350F"/>
    <w:rsid w:val="00373A44"/>
    <w:rsid w:val="00375FC0"/>
    <w:rsid w:val="003808C0"/>
    <w:rsid w:val="003810CE"/>
    <w:rsid w:val="00382026"/>
    <w:rsid w:val="003821E4"/>
    <w:rsid w:val="0038331C"/>
    <w:rsid w:val="003836CA"/>
    <w:rsid w:val="0038450B"/>
    <w:rsid w:val="00386B3E"/>
    <w:rsid w:val="00393512"/>
    <w:rsid w:val="003938DB"/>
    <w:rsid w:val="00393B7C"/>
    <w:rsid w:val="003940DD"/>
    <w:rsid w:val="00394CC7"/>
    <w:rsid w:val="0039525F"/>
    <w:rsid w:val="0039796F"/>
    <w:rsid w:val="003A06A3"/>
    <w:rsid w:val="003A0B9C"/>
    <w:rsid w:val="003A0CB1"/>
    <w:rsid w:val="003A14CC"/>
    <w:rsid w:val="003A240D"/>
    <w:rsid w:val="003A2F4D"/>
    <w:rsid w:val="003A56ED"/>
    <w:rsid w:val="003B0653"/>
    <w:rsid w:val="003B190B"/>
    <w:rsid w:val="003B2638"/>
    <w:rsid w:val="003B4EEC"/>
    <w:rsid w:val="003B6D86"/>
    <w:rsid w:val="003C0BA8"/>
    <w:rsid w:val="003C2F0E"/>
    <w:rsid w:val="003C3099"/>
    <w:rsid w:val="003C35FF"/>
    <w:rsid w:val="003C39EE"/>
    <w:rsid w:val="003C6095"/>
    <w:rsid w:val="003C682D"/>
    <w:rsid w:val="003D0EF5"/>
    <w:rsid w:val="003D22E6"/>
    <w:rsid w:val="003D3FE9"/>
    <w:rsid w:val="003D5212"/>
    <w:rsid w:val="003D5DE5"/>
    <w:rsid w:val="003D69DC"/>
    <w:rsid w:val="003E1CD0"/>
    <w:rsid w:val="003E2BE6"/>
    <w:rsid w:val="003E4428"/>
    <w:rsid w:val="003E64F9"/>
    <w:rsid w:val="003E7CA6"/>
    <w:rsid w:val="003F0F20"/>
    <w:rsid w:val="003F2CB9"/>
    <w:rsid w:val="003F61EA"/>
    <w:rsid w:val="003F7FD5"/>
    <w:rsid w:val="00401F05"/>
    <w:rsid w:val="00402416"/>
    <w:rsid w:val="0040315F"/>
    <w:rsid w:val="00403EEF"/>
    <w:rsid w:val="0040469E"/>
    <w:rsid w:val="00405625"/>
    <w:rsid w:val="0041414A"/>
    <w:rsid w:val="00422007"/>
    <w:rsid w:val="00422F54"/>
    <w:rsid w:val="0042373F"/>
    <w:rsid w:val="00424637"/>
    <w:rsid w:val="0042604F"/>
    <w:rsid w:val="00426060"/>
    <w:rsid w:val="004274BE"/>
    <w:rsid w:val="0043007E"/>
    <w:rsid w:val="004300D1"/>
    <w:rsid w:val="0043105B"/>
    <w:rsid w:val="0043173E"/>
    <w:rsid w:val="00432747"/>
    <w:rsid w:val="004328C3"/>
    <w:rsid w:val="00432EB7"/>
    <w:rsid w:val="00433C7B"/>
    <w:rsid w:val="00434874"/>
    <w:rsid w:val="0043641A"/>
    <w:rsid w:val="00436463"/>
    <w:rsid w:val="004367A3"/>
    <w:rsid w:val="00436DBD"/>
    <w:rsid w:val="004376E9"/>
    <w:rsid w:val="00441A43"/>
    <w:rsid w:val="00442CE0"/>
    <w:rsid w:val="00447A2D"/>
    <w:rsid w:val="00450718"/>
    <w:rsid w:val="00451A3E"/>
    <w:rsid w:val="00452BF0"/>
    <w:rsid w:val="00454614"/>
    <w:rsid w:val="00455089"/>
    <w:rsid w:val="00455585"/>
    <w:rsid w:val="00456234"/>
    <w:rsid w:val="004566F6"/>
    <w:rsid w:val="00457560"/>
    <w:rsid w:val="004577E3"/>
    <w:rsid w:val="00461125"/>
    <w:rsid w:val="00461530"/>
    <w:rsid w:val="00464E52"/>
    <w:rsid w:val="00465501"/>
    <w:rsid w:val="00471DF6"/>
    <w:rsid w:val="00471E97"/>
    <w:rsid w:val="00473CC6"/>
    <w:rsid w:val="00476E2C"/>
    <w:rsid w:val="00476E32"/>
    <w:rsid w:val="0048378C"/>
    <w:rsid w:val="004865E8"/>
    <w:rsid w:val="0048727C"/>
    <w:rsid w:val="004903F0"/>
    <w:rsid w:val="0049181B"/>
    <w:rsid w:val="00491B73"/>
    <w:rsid w:val="00491E18"/>
    <w:rsid w:val="004922F0"/>
    <w:rsid w:val="00492F6C"/>
    <w:rsid w:val="00493743"/>
    <w:rsid w:val="004960C9"/>
    <w:rsid w:val="00497929"/>
    <w:rsid w:val="004A058D"/>
    <w:rsid w:val="004A15A1"/>
    <w:rsid w:val="004A2B75"/>
    <w:rsid w:val="004A3841"/>
    <w:rsid w:val="004A3CBB"/>
    <w:rsid w:val="004A43D8"/>
    <w:rsid w:val="004A4EC9"/>
    <w:rsid w:val="004A542F"/>
    <w:rsid w:val="004A6E9E"/>
    <w:rsid w:val="004A76D7"/>
    <w:rsid w:val="004B0372"/>
    <w:rsid w:val="004B39FD"/>
    <w:rsid w:val="004B4839"/>
    <w:rsid w:val="004B5008"/>
    <w:rsid w:val="004C2241"/>
    <w:rsid w:val="004C2AAE"/>
    <w:rsid w:val="004C2B8E"/>
    <w:rsid w:val="004C2B95"/>
    <w:rsid w:val="004C761C"/>
    <w:rsid w:val="004D2C16"/>
    <w:rsid w:val="004D3BD8"/>
    <w:rsid w:val="004D3DA8"/>
    <w:rsid w:val="004D3DE1"/>
    <w:rsid w:val="004D7351"/>
    <w:rsid w:val="004D79A3"/>
    <w:rsid w:val="004E1F05"/>
    <w:rsid w:val="004E23A4"/>
    <w:rsid w:val="004E3DF4"/>
    <w:rsid w:val="004E4F4E"/>
    <w:rsid w:val="004E52BA"/>
    <w:rsid w:val="004E6112"/>
    <w:rsid w:val="004E6211"/>
    <w:rsid w:val="004E66CE"/>
    <w:rsid w:val="004E7322"/>
    <w:rsid w:val="004F0256"/>
    <w:rsid w:val="004F095D"/>
    <w:rsid w:val="004F1823"/>
    <w:rsid w:val="004F1A89"/>
    <w:rsid w:val="004F3314"/>
    <w:rsid w:val="004F38BD"/>
    <w:rsid w:val="004F3C2C"/>
    <w:rsid w:val="004F3C4C"/>
    <w:rsid w:val="004F40DC"/>
    <w:rsid w:val="004F41E0"/>
    <w:rsid w:val="004F6AB3"/>
    <w:rsid w:val="004F7316"/>
    <w:rsid w:val="004F7F8E"/>
    <w:rsid w:val="00500EB7"/>
    <w:rsid w:val="00502E81"/>
    <w:rsid w:val="005042CB"/>
    <w:rsid w:val="00504C27"/>
    <w:rsid w:val="00506BFC"/>
    <w:rsid w:val="005076AB"/>
    <w:rsid w:val="00507904"/>
    <w:rsid w:val="00507D64"/>
    <w:rsid w:val="00510F28"/>
    <w:rsid w:val="00511549"/>
    <w:rsid w:val="00513922"/>
    <w:rsid w:val="005146B5"/>
    <w:rsid w:val="0051673E"/>
    <w:rsid w:val="00516795"/>
    <w:rsid w:val="00517AEA"/>
    <w:rsid w:val="005207F6"/>
    <w:rsid w:val="00523B8C"/>
    <w:rsid w:val="005255D7"/>
    <w:rsid w:val="00525E59"/>
    <w:rsid w:val="0052677F"/>
    <w:rsid w:val="00526A00"/>
    <w:rsid w:val="00530EAF"/>
    <w:rsid w:val="00530F84"/>
    <w:rsid w:val="005331AB"/>
    <w:rsid w:val="0053473D"/>
    <w:rsid w:val="005358FF"/>
    <w:rsid w:val="00535C18"/>
    <w:rsid w:val="00543200"/>
    <w:rsid w:val="00543E76"/>
    <w:rsid w:val="00544A7E"/>
    <w:rsid w:val="00544C43"/>
    <w:rsid w:val="0054607A"/>
    <w:rsid w:val="0054623F"/>
    <w:rsid w:val="00547852"/>
    <w:rsid w:val="00547E38"/>
    <w:rsid w:val="005506B9"/>
    <w:rsid w:val="00552505"/>
    <w:rsid w:val="00552AAF"/>
    <w:rsid w:val="005600FA"/>
    <w:rsid w:val="0056035D"/>
    <w:rsid w:val="00560FD4"/>
    <w:rsid w:val="0056113A"/>
    <w:rsid w:val="00565D5F"/>
    <w:rsid w:val="00566117"/>
    <w:rsid w:val="005719B9"/>
    <w:rsid w:val="005737CC"/>
    <w:rsid w:val="0057786D"/>
    <w:rsid w:val="005813E0"/>
    <w:rsid w:val="00581A97"/>
    <w:rsid w:val="005828DC"/>
    <w:rsid w:val="00582FD0"/>
    <w:rsid w:val="00583347"/>
    <w:rsid w:val="00583F0A"/>
    <w:rsid w:val="00584182"/>
    <w:rsid w:val="00584D34"/>
    <w:rsid w:val="00586B78"/>
    <w:rsid w:val="0059014A"/>
    <w:rsid w:val="005904A8"/>
    <w:rsid w:val="00590B05"/>
    <w:rsid w:val="0059119E"/>
    <w:rsid w:val="00591741"/>
    <w:rsid w:val="00591939"/>
    <w:rsid w:val="005920DE"/>
    <w:rsid w:val="00592544"/>
    <w:rsid w:val="0059277C"/>
    <w:rsid w:val="005963CB"/>
    <w:rsid w:val="00597408"/>
    <w:rsid w:val="005A29F3"/>
    <w:rsid w:val="005A3582"/>
    <w:rsid w:val="005A6C2B"/>
    <w:rsid w:val="005B1413"/>
    <w:rsid w:val="005B18CE"/>
    <w:rsid w:val="005B4104"/>
    <w:rsid w:val="005B4B1F"/>
    <w:rsid w:val="005B6A24"/>
    <w:rsid w:val="005B6A44"/>
    <w:rsid w:val="005C02DA"/>
    <w:rsid w:val="005C277F"/>
    <w:rsid w:val="005C38ED"/>
    <w:rsid w:val="005C4086"/>
    <w:rsid w:val="005C45D2"/>
    <w:rsid w:val="005C54C1"/>
    <w:rsid w:val="005D0637"/>
    <w:rsid w:val="005D191D"/>
    <w:rsid w:val="005D4947"/>
    <w:rsid w:val="005D49E5"/>
    <w:rsid w:val="005E0689"/>
    <w:rsid w:val="005E3630"/>
    <w:rsid w:val="005E4C83"/>
    <w:rsid w:val="005E6703"/>
    <w:rsid w:val="005E78DC"/>
    <w:rsid w:val="005F3138"/>
    <w:rsid w:val="005F3643"/>
    <w:rsid w:val="005F543A"/>
    <w:rsid w:val="005F71C3"/>
    <w:rsid w:val="005F7E8C"/>
    <w:rsid w:val="00601201"/>
    <w:rsid w:val="006018DC"/>
    <w:rsid w:val="00602C18"/>
    <w:rsid w:val="00606495"/>
    <w:rsid w:val="006066B1"/>
    <w:rsid w:val="00610425"/>
    <w:rsid w:val="006106D1"/>
    <w:rsid w:val="00611126"/>
    <w:rsid w:val="00615753"/>
    <w:rsid w:val="0061601F"/>
    <w:rsid w:val="00616E03"/>
    <w:rsid w:val="00620A84"/>
    <w:rsid w:val="00621347"/>
    <w:rsid w:val="006222D9"/>
    <w:rsid w:val="00622316"/>
    <w:rsid w:val="00622347"/>
    <w:rsid w:val="00624023"/>
    <w:rsid w:val="006240EF"/>
    <w:rsid w:val="00624D01"/>
    <w:rsid w:val="00627C02"/>
    <w:rsid w:val="00627DBE"/>
    <w:rsid w:val="00630EF7"/>
    <w:rsid w:val="00631E9E"/>
    <w:rsid w:val="00632FBD"/>
    <w:rsid w:val="00633979"/>
    <w:rsid w:val="00633E68"/>
    <w:rsid w:val="006365BD"/>
    <w:rsid w:val="00636830"/>
    <w:rsid w:val="00641B03"/>
    <w:rsid w:val="006426D9"/>
    <w:rsid w:val="0064308C"/>
    <w:rsid w:val="00643ACA"/>
    <w:rsid w:val="00644722"/>
    <w:rsid w:val="006515D0"/>
    <w:rsid w:val="00651A31"/>
    <w:rsid w:val="00652AFA"/>
    <w:rsid w:val="00653002"/>
    <w:rsid w:val="0065716A"/>
    <w:rsid w:val="0066121C"/>
    <w:rsid w:val="00661960"/>
    <w:rsid w:val="00661E26"/>
    <w:rsid w:val="006622DB"/>
    <w:rsid w:val="006623E0"/>
    <w:rsid w:val="00662EE6"/>
    <w:rsid w:val="00666648"/>
    <w:rsid w:val="00670D02"/>
    <w:rsid w:val="00671FA8"/>
    <w:rsid w:val="00672DB0"/>
    <w:rsid w:val="00673C52"/>
    <w:rsid w:val="00673F61"/>
    <w:rsid w:val="006802DE"/>
    <w:rsid w:val="00680831"/>
    <w:rsid w:val="00681053"/>
    <w:rsid w:val="00681CAD"/>
    <w:rsid w:val="006826DF"/>
    <w:rsid w:val="00682C2B"/>
    <w:rsid w:val="00682FB8"/>
    <w:rsid w:val="00683ECE"/>
    <w:rsid w:val="00684202"/>
    <w:rsid w:val="00687BA8"/>
    <w:rsid w:val="00690126"/>
    <w:rsid w:val="006902D4"/>
    <w:rsid w:val="00690310"/>
    <w:rsid w:val="00692717"/>
    <w:rsid w:val="00692759"/>
    <w:rsid w:val="00693271"/>
    <w:rsid w:val="0069357E"/>
    <w:rsid w:val="00695E35"/>
    <w:rsid w:val="006A0376"/>
    <w:rsid w:val="006A1950"/>
    <w:rsid w:val="006A25BF"/>
    <w:rsid w:val="006A314F"/>
    <w:rsid w:val="006A3C49"/>
    <w:rsid w:val="006A45B1"/>
    <w:rsid w:val="006A6CB1"/>
    <w:rsid w:val="006A78F7"/>
    <w:rsid w:val="006B0C3A"/>
    <w:rsid w:val="006B134B"/>
    <w:rsid w:val="006B3254"/>
    <w:rsid w:val="006B3AE6"/>
    <w:rsid w:val="006B431C"/>
    <w:rsid w:val="006B4954"/>
    <w:rsid w:val="006B7320"/>
    <w:rsid w:val="006B74F3"/>
    <w:rsid w:val="006B7B56"/>
    <w:rsid w:val="006C26DF"/>
    <w:rsid w:val="006C4812"/>
    <w:rsid w:val="006C76E8"/>
    <w:rsid w:val="006D28C7"/>
    <w:rsid w:val="006D68C1"/>
    <w:rsid w:val="006E1D7A"/>
    <w:rsid w:val="006E27ED"/>
    <w:rsid w:val="006E28A1"/>
    <w:rsid w:val="006E2FAC"/>
    <w:rsid w:val="006E5C29"/>
    <w:rsid w:val="006E5CA4"/>
    <w:rsid w:val="006E60EE"/>
    <w:rsid w:val="006E6FF7"/>
    <w:rsid w:val="006E7659"/>
    <w:rsid w:val="006F13B4"/>
    <w:rsid w:val="006F13DF"/>
    <w:rsid w:val="006F1DA2"/>
    <w:rsid w:val="006F226E"/>
    <w:rsid w:val="006F2919"/>
    <w:rsid w:val="006F2B63"/>
    <w:rsid w:val="006F4815"/>
    <w:rsid w:val="006F4D27"/>
    <w:rsid w:val="006F5561"/>
    <w:rsid w:val="00702BF0"/>
    <w:rsid w:val="00702CBD"/>
    <w:rsid w:val="0070397B"/>
    <w:rsid w:val="007040BF"/>
    <w:rsid w:val="00704ED8"/>
    <w:rsid w:val="00706D33"/>
    <w:rsid w:val="0070782A"/>
    <w:rsid w:val="00707A6B"/>
    <w:rsid w:val="00711374"/>
    <w:rsid w:val="007124D8"/>
    <w:rsid w:val="007162A3"/>
    <w:rsid w:val="00716EEE"/>
    <w:rsid w:val="00717DA4"/>
    <w:rsid w:val="00720647"/>
    <w:rsid w:val="0072198D"/>
    <w:rsid w:val="00721FC0"/>
    <w:rsid w:val="00722F8B"/>
    <w:rsid w:val="00725444"/>
    <w:rsid w:val="00725F63"/>
    <w:rsid w:val="00726692"/>
    <w:rsid w:val="00730F14"/>
    <w:rsid w:val="007319C4"/>
    <w:rsid w:val="00732050"/>
    <w:rsid w:val="00733B7C"/>
    <w:rsid w:val="00733F84"/>
    <w:rsid w:val="007355CF"/>
    <w:rsid w:val="00740106"/>
    <w:rsid w:val="0074097A"/>
    <w:rsid w:val="00741F1C"/>
    <w:rsid w:val="00743B3E"/>
    <w:rsid w:val="00745D9C"/>
    <w:rsid w:val="00750172"/>
    <w:rsid w:val="007501E4"/>
    <w:rsid w:val="00752FAB"/>
    <w:rsid w:val="00755680"/>
    <w:rsid w:val="007567C9"/>
    <w:rsid w:val="00757A52"/>
    <w:rsid w:val="00757BFA"/>
    <w:rsid w:val="007604A2"/>
    <w:rsid w:val="007612B8"/>
    <w:rsid w:val="007616F2"/>
    <w:rsid w:val="00763658"/>
    <w:rsid w:val="00766798"/>
    <w:rsid w:val="007679F1"/>
    <w:rsid w:val="00767C60"/>
    <w:rsid w:val="00767F9D"/>
    <w:rsid w:val="00771C4B"/>
    <w:rsid w:val="00772083"/>
    <w:rsid w:val="007739CA"/>
    <w:rsid w:val="007743D5"/>
    <w:rsid w:val="007758DA"/>
    <w:rsid w:val="00776AD8"/>
    <w:rsid w:val="0078000B"/>
    <w:rsid w:val="00780B84"/>
    <w:rsid w:val="00782142"/>
    <w:rsid w:val="007849E0"/>
    <w:rsid w:val="00784CEB"/>
    <w:rsid w:val="00785609"/>
    <w:rsid w:val="007876E3"/>
    <w:rsid w:val="00791F65"/>
    <w:rsid w:val="00792780"/>
    <w:rsid w:val="00792854"/>
    <w:rsid w:val="00792E67"/>
    <w:rsid w:val="007953B8"/>
    <w:rsid w:val="007962BB"/>
    <w:rsid w:val="00796A61"/>
    <w:rsid w:val="007A4B66"/>
    <w:rsid w:val="007A72FA"/>
    <w:rsid w:val="007B32B9"/>
    <w:rsid w:val="007B6771"/>
    <w:rsid w:val="007C2172"/>
    <w:rsid w:val="007C4E09"/>
    <w:rsid w:val="007C7451"/>
    <w:rsid w:val="007D01A3"/>
    <w:rsid w:val="007D1B2C"/>
    <w:rsid w:val="007D1DB4"/>
    <w:rsid w:val="007D2579"/>
    <w:rsid w:val="007D39B0"/>
    <w:rsid w:val="007D4F62"/>
    <w:rsid w:val="007D69CE"/>
    <w:rsid w:val="007D737D"/>
    <w:rsid w:val="007D7E07"/>
    <w:rsid w:val="007E0461"/>
    <w:rsid w:val="007E1D89"/>
    <w:rsid w:val="007E5978"/>
    <w:rsid w:val="007E5D04"/>
    <w:rsid w:val="007E6864"/>
    <w:rsid w:val="007E6CE6"/>
    <w:rsid w:val="007E7B31"/>
    <w:rsid w:val="007E7CB3"/>
    <w:rsid w:val="007F05EF"/>
    <w:rsid w:val="007F0738"/>
    <w:rsid w:val="007F0AA0"/>
    <w:rsid w:val="007F0FED"/>
    <w:rsid w:val="007F23EB"/>
    <w:rsid w:val="007F658B"/>
    <w:rsid w:val="007F6869"/>
    <w:rsid w:val="007F6BDE"/>
    <w:rsid w:val="00801155"/>
    <w:rsid w:val="008017AB"/>
    <w:rsid w:val="00801AC0"/>
    <w:rsid w:val="00802327"/>
    <w:rsid w:val="008024FD"/>
    <w:rsid w:val="008031D0"/>
    <w:rsid w:val="00803633"/>
    <w:rsid w:val="00810A4A"/>
    <w:rsid w:val="008151EE"/>
    <w:rsid w:val="008158FA"/>
    <w:rsid w:val="00820B05"/>
    <w:rsid w:val="00820CD0"/>
    <w:rsid w:val="00825D5F"/>
    <w:rsid w:val="00830302"/>
    <w:rsid w:val="008316F8"/>
    <w:rsid w:val="0083208E"/>
    <w:rsid w:val="00835335"/>
    <w:rsid w:val="0083649D"/>
    <w:rsid w:val="0083696C"/>
    <w:rsid w:val="008374EC"/>
    <w:rsid w:val="008422FE"/>
    <w:rsid w:val="00843097"/>
    <w:rsid w:val="0084457C"/>
    <w:rsid w:val="00844BAB"/>
    <w:rsid w:val="00844CDE"/>
    <w:rsid w:val="0084525F"/>
    <w:rsid w:val="00845B82"/>
    <w:rsid w:val="00846FD5"/>
    <w:rsid w:val="00853199"/>
    <w:rsid w:val="00853239"/>
    <w:rsid w:val="00854817"/>
    <w:rsid w:val="00855043"/>
    <w:rsid w:val="00855BBC"/>
    <w:rsid w:val="00856A42"/>
    <w:rsid w:val="00857610"/>
    <w:rsid w:val="00860E79"/>
    <w:rsid w:val="00862337"/>
    <w:rsid w:val="008662A1"/>
    <w:rsid w:val="0086646F"/>
    <w:rsid w:val="00867A41"/>
    <w:rsid w:val="00873357"/>
    <w:rsid w:val="00875092"/>
    <w:rsid w:val="008751BA"/>
    <w:rsid w:val="00876AFE"/>
    <w:rsid w:val="00876D2C"/>
    <w:rsid w:val="008778AE"/>
    <w:rsid w:val="008800F0"/>
    <w:rsid w:val="00880EB2"/>
    <w:rsid w:val="00885F33"/>
    <w:rsid w:val="0089030E"/>
    <w:rsid w:val="008933A5"/>
    <w:rsid w:val="00894420"/>
    <w:rsid w:val="0089546D"/>
    <w:rsid w:val="00895F07"/>
    <w:rsid w:val="00897AD6"/>
    <w:rsid w:val="008A0578"/>
    <w:rsid w:val="008A0B72"/>
    <w:rsid w:val="008A32F7"/>
    <w:rsid w:val="008A3EB5"/>
    <w:rsid w:val="008B048C"/>
    <w:rsid w:val="008B0A28"/>
    <w:rsid w:val="008B2E6F"/>
    <w:rsid w:val="008B41F5"/>
    <w:rsid w:val="008B4E7B"/>
    <w:rsid w:val="008C0C7A"/>
    <w:rsid w:val="008C1E32"/>
    <w:rsid w:val="008C287D"/>
    <w:rsid w:val="008C2945"/>
    <w:rsid w:val="008C306F"/>
    <w:rsid w:val="008C3E02"/>
    <w:rsid w:val="008C47F8"/>
    <w:rsid w:val="008C51F2"/>
    <w:rsid w:val="008D2601"/>
    <w:rsid w:val="008D38E9"/>
    <w:rsid w:val="008D425D"/>
    <w:rsid w:val="008D45D1"/>
    <w:rsid w:val="008D50F8"/>
    <w:rsid w:val="008E0B1D"/>
    <w:rsid w:val="008E16F2"/>
    <w:rsid w:val="008E2B21"/>
    <w:rsid w:val="008E3B26"/>
    <w:rsid w:val="008E471A"/>
    <w:rsid w:val="008E4D77"/>
    <w:rsid w:val="008E5630"/>
    <w:rsid w:val="008E5B7D"/>
    <w:rsid w:val="008E6F05"/>
    <w:rsid w:val="008F0C92"/>
    <w:rsid w:val="008F0D87"/>
    <w:rsid w:val="008F1B29"/>
    <w:rsid w:val="008F1B3D"/>
    <w:rsid w:val="008F3260"/>
    <w:rsid w:val="008F342A"/>
    <w:rsid w:val="008F57F5"/>
    <w:rsid w:val="009006D1"/>
    <w:rsid w:val="009015A0"/>
    <w:rsid w:val="00907F14"/>
    <w:rsid w:val="00911048"/>
    <w:rsid w:val="009112F3"/>
    <w:rsid w:val="00911DAF"/>
    <w:rsid w:val="00912D06"/>
    <w:rsid w:val="009137FF"/>
    <w:rsid w:val="00914176"/>
    <w:rsid w:val="00914B17"/>
    <w:rsid w:val="0091569C"/>
    <w:rsid w:val="0091679B"/>
    <w:rsid w:val="00920AFB"/>
    <w:rsid w:val="00920C74"/>
    <w:rsid w:val="00920ECD"/>
    <w:rsid w:val="009213F8"/>
    <w:rsid w:val="009231A1"/>
    <w:rsid w:val="00924A38"/>
    <w:rsid w:val="009260CD"/>
    <w:rsid w:val="009266FB"/>
    <w:rsid w:val="00927E39"/>
    <w:rsid w:val="00930DE2"/>
    <w:rsid w:val="009325C3"/>
    <w:rsid w:val="00932CD6"/>
    <w:rsid w:val="0093360D"/>
    <w:rsid w:val="0093572B"/>
    <w:rsid w:val="00936032"/>
    <w:rsid w:val="00936481"/>
    <w:rsid w:val="009449EB"/>
    <w:rsid w:val="0094513C"/>
    <w:rsid w:val="009469FD"/>
    <w:rsid w:val="00947B12"/>
    <w:rsid w:val="00950BEB"/>
    <w:rsid w:val="00955294"/>
    <w:rsid w:val="009569F5"/>
    <w:rsid w:val="00961187"/>
    <w:rsid w:val="009635FC"/>
    <w:rsid w:val="009654F8"/>
    <w:rsid w:val="009672AB"/>
    <w:rsid w:val="00967744"/>
    <w:rsid w:val="0097064B"/>
    <w:rsid w:val="00971A2D"/>
    <w:rsid w:val="00973527"/>
    <w:rsid w:val="009745DD"/>
    <w:rsid w:val="009754C2"/>
    <w:rsid w:val="0097583D"/>
    <w:rsid w:val="009765EC"/>
    <w:rsid w:val="0098288B"/>
    <w:rsid w:val="00982B01"/>
    <w:rsid w:val="0098797D"/>
    <w:rsid w:val="00991348"/>
    <w:rsid w:val="00991F03"/>
    <w:rsid w:val="00993E6E"/>
    <w:rsid w:val="009941E3"/>
    <w:rsid w:val="00994674"/>
    <w:rsid w:val="009A14BF"/>
    <w:rsid w:val="009A1745"/>
    <w:rsid w:val="009A2371"/>
    <w:rsid w:val="009A2C2B"/>
    <w:rsid w:val="009A35CA"/>
    <w:rsid w:val="009A37C9"/>
    <w:rsid w:val="009A66D8"/>
    <w:rsid w:val="009A7722"/>
    <w:rsid w:val="009B52DA"/>
    <w:rsid w:val="009B5BC2"/>
    <w:rsid w:val="009B6F56"/>
    <w:rsid w:val="009C04FD"/>
    <w:rsid w:val="009C20D3"/>
    <w:rsid w:val="009C390E"/>
    <w:rsid w:val="009C4E23"/>
    <w:rsid w:val="009C7CF7"/>
    <w:rsid w:val="009D3A2F"/>
    <w:rsid w:val="009D586C"/>
    <w:rsid w:val="009D5DAD"/>
    <w:rsid w:val="009D7319"/>
    <w:rsid w:val="009D73B5"/>
    <w:rsid w:val="009D7F62"/>
    <w:rsid w:val="009E0EE4"/>
    <w:rsid w:val="009E1060"/>
    <w:rsid w:val="009E16EF"/>
    <w:rsid w:val="009E3F92"/>
    <w:rsid w:val="009E4DC4"/>
    <w:rsid w:val="009E5B1B"/>
    <w:rsid w:val="009F066A"/>
    <w:rsid w:val="009F0964"/>
    <w:rsid w:val="009F19D4"/>
    <w:rsid w:val="009F1AAD"/>
    <w:rsid w:val="009F7376"/>
    <w:rsid w:val="00A007F9"/>
    <w:rsid w:val="00A00BF8"/>
    <w:rsid w:val="00A01BE9"/>
    <w:rsid w:val="00A027ED"/>
    <w:rsid w:val="00A042C4"/>
    <w:rsid w:val="00A0579C"/>
    <w:rsid w:val="00A060AB"/>
    <w:rsid w:val="00A078CD"/>
    <w:rsid w:val="00A137B6"/>
    <w:rsid w:val="00A14326"/>
    <w:rsid w:val="00A16589"/>
    <w:rsid w:val="00A16D3C"/>
    <w:rsid w:val="00A16F98"/>
    <w:rsid w:val="00A17E95"/>
    <w:rsid w:val="00A21308"/>
    <w:rsid w:val="00A219BB"/>
    <w:rsid w:val="00A21DA4"/>
    <w:rsid w:val="00A23109"/>
    <w:rsid w:val="00A24AA3"/>
    <w:rsid w:val="00A2551E"/>
    <w:rsid w:val="00A2613E"/>
    <w:rsid w:val="00A277E3"/>
    <w:rsid w:val="00A320D0"/>
    <w:rsid w:val="00A33D5E"/>
    <w:rsid w:val="00A36E34"/>
    <w:rsid w:val="00A370EA"/>
    <w:rsid w:val="00A42DE3"/>
    <w:rsid w:val="00A4476A"/>
    <w:rsid w:val="00A467F2"/>
    <w:rsid w:val="00A46F86"/>
    <w:rsid w:val="00A47964"/>
    <w:rsid w:val="00A54CA9"/>
    <w:rsid w:val="00A551DF"/>
    <w:rsid w:val="00A5624F"/>
    <w:rsid w:val="00A576F3"/>
    <w:rsid w:val="00A57C3A"/>
    <w:rsid w:val="00A61DB4"/>
    <w:rsid w:val="00A61E7B"/>
    <w:rsid w:val="00A64A45"/>
    <w:rsid w:val="00A65A33"/>
    <w:rsid w:val="00A70594"/>
    <w:rsid w:val="00A736C0"/>
    <w:rsid w:val="00A75A18"/>
    <w:rsid w:val="00A765D3"/>
    <w:rsid w:val="00A77820"/>
    <w:rsid w:val="00A77E63"/>
    <w:rsid w:val="00A9064F"/>
    <w:rsid w:val="00A91738"/>
    <w:rsid w:val="00A932DB"/>
    <w:rsid w:val="00A93C83"/>
    <w:rsid w:val="00A93CA5"/>
    <w:rsid w:val="00A93D2B"/>
    <w:rsid w:val="00A96425"/>
    <w:rsid w:val="00A967AC"/>
    <w:rsid w:val="00A97039"/>
    <w:rsid w:val="00A9740D"/>
    <w:rsid w:val="00A97BF1"/>
    <w:rsid w:val="00AA2280"/>
    <w:rsid w:val="00AA4200"/>
    <w:rsid w:val="00AA55D8"/>
    <w:rsid w:val="00AA7DEA"/>
    <w:rsid w:val="00AB0809"/>
    <w:rsid w:val="00AB084E"/>
    <w:rsid w:val="00AB1CCF"/>
    <w:rsid w:val="00AB68DF"/>
    <w:rsid w:val="00AC7288"/>
    <w:rsid w:val="00AD3C23"/>
    <w:rsid w:val="00AD4D17"/>
    <w:rsid w:val="00AD57FF"/>
    <w:rsid w:val="00AD6596"/>
    <w:rsid w:val="00AD7EBF"/>
    <w:rsid w:val="00AE0019"/>
    <w:rsid w:val="00AE0214"/>
    <w:rsid w:val="00AE03D1"/>
    <w:rsid w:val="00AE2D16"/>
    <w:rsid w:val="00AE2D92"/>
    <w:rsid w:val="00AE40EF"/>
    <w:rsid w:val="00AE5656"/>
    <w:rsid w:val="00AF38D1"/>
    <w:rsid w:val="00B03E47"/>
    <w:rsid w:val="00B04D61"/>
    <w:rsid w:val="00B0621A"/>
    <w:rsid w:val="00B10704"/>
    <w:rsid w:val="00B11EB8"/>
    <w:rsid w:val="00B130F1"/>
    <w:rsid w:val="00B13A70"/>
    <w:rsid w:val="00B14558"/>
    <w:rsid w:val="00B150A9"/>
    <w:rsid w:val="00B15988"/>
    <w:rsid w:val="00B16257"/>
    <w:rsid w:val="00B20CBF"/>
    <w:rsid w:val="00B22BAC"/>
    <w:rsid w:val="00B25CCF"/>
    <w:rsid w:val="00B34060"/>
    <w:rsid w:val="00B366B9"/>
    <w:rsid w:val="00B36BCF"/>
    <w:rsid w:val="00B40EFB"/>
    <w:rsid w:val="00B42F8B"/>
    <w:rsid w:val="00B43527"/>
    <w:rsid w:val="00B4506C"/>
    <w:rsid w:val="00B4570F"/>
    <w:rsid w:val="00B46364"/>
    <w:rsid w:val="00B47FCB"/>
    <w:rsid w:val="00B5037E"/>
    <w:rsid w:val="00B503FF"/>
    <w:rsid w:val="00B518D6"/>
    <w:rsid w:val="00B523E6"/>
    <w:rsid w:val="00B52946"/>
    <w:rsid w:val="00B56F4F"/>
    <w:rsid w:val="00B57069"/>
    <w:rsid w:val="00B60AE2"/>
    <w:rsid w:val="00B628A3"/>
    <w:rsid w:val="00B65098"/>
    <w:rsid w:val="00B66561"/>
    <w:rsid w:val="00B678EB"/>
    <w:rsid w:val="00B70705"/>
    <w:rsid w:val="00B725E3"/>
    <w:rsid w:val="00B73523"/>
    <w:rsid w:val="00B75F4C"/>
    <w:rsid w:val="00B7629D"/>
    <w:rsid w:val="00B774BE"/>
    <w:rsid w:val="00B805E2"/>
    <w:rsid w:val="00B8072E"/>
    <w:rsid w:val="00B83081"/>
    <w:rsid w:val="00B832CD"/>
    <w:rsid w:val="00B85E7F"/>
    <w:rsid w:val="00B86584"/>
    <w:rsid w:val="00B87BBA"/>
    <w:rsid w:val="00B91273"/>
    <w:rsid w:val="00B9232A"/>
    <w:rsid w:val="00B924E0"/>
    <w:rsid w:val="00B928FE"/>
    <w:rsid w:val="00B93879"/>
    <w:rsid w:val="00B94157"/>
    <w:rsid w:val="00B94E1D"/>
    <w:rsid w:val="00B950B3"/>
    <w:rsid w:val="00B97BAB"/>
    <w:rsid w:val="00B97FD4"/>
    <w:rsid w:val="00BA23A7"/>
    <w:rsid w:val="00BA2D86"/>
    <w:rsid w:val="00BA61FE"/>
    <w:rsid w:val="00BA7BD2"/>
    <w:rsid w:val="00BB07F8"/>
    <w:rsid w:val="00BB5DB3"/>
    <w:rsid w:val="00BB6DE0"/>
    <w:rsid w:val="00BB729C"/>
    <w:rsid w:val="00BB75F7"/>
    <w:rsid w:val="00BC1EA5"/>
    <w:rsid w:val="00BC2812"/>
    <w:rsid w:val="00BC3221"/>
    <w:rsid w:val="00BC46BA"/>
    <w:rsid w:val="00BC7E41"/>
    <w:rsid w:val="00BD28CB"/>
    <w:rsid w:val="00BD2989"/>
    <w:rsid w:val="00BD47B8"/>
    <w:rsid w:val="00BD576D"/>
    <w:rsid w:val="00BD5DCA"/>
    <w:rsid w:val="00BE6072"/>
    <w:rsid w:val="00BF2F95"/>
    <w:rsid w:val="00BF3679"/>
    <w:rsid w:val="00BF4278"/>
    <w:rsid w:val="00BF5688"/>
    <w:rsid w:val="00BF6A35"/>
    <w:rsid w:val="00C0033A"/>
    <w:rsid w:val="00C00AF6"/>
    <w:rsid w:val="00C04C79"/>
    <w:rsid w:val="00C04DB9"/>
    <w:rsid w:val="00C066CF"/>
    <w:rsid w:val="00C068F9"/>
    <w:rsid w:val="00C1062D"/>
    <w:rsid w:val="00C10650"/>
    <w:rsid w:val="00C12EF8"/>
    <w:rsid w:val="00C138E5"/>
    <w:rsid w:val="00C158D6"/>
    <w:rsid w:val="00C1699A"/>
    <w:rsid w:val="00C1722B"/>
    <w:rsid w:val="00C17A69"/>
    <w:rsid w:val="00C2086A"/>
    <w:rsid w:val="00C2228F"/>
    <w:rsid w:val="00C22D25"/>
    <w:rsid w:val="00C23434"/>
    <w:rsid w:val="00C23C13"/>
    <w:rsid w:val="00C2713F"/>
    <w:rsid w:val="00C32A69"/>
    <w:rsid w:val="00C37E99"/>
    <w:rsid w:val="00C42946"/>
    <w:rsid w:val="00C42F55"/>
    <w:rsid w:val="00C450E2"/>
    <w:rsid w:val="00C47F13"/>
    <w:rsid w:val="00C52A5B"/>
    <w:rsid w:val="00C545CE"/>
    <w:rsid w:val="00C551B4"/>
    <w:rsid w:val="00C5648C"/>
    <w:rsid w:val="00C61721"/>
    <w:rsid w:val="00C660D5"/>
    <w:rsid w:val="00C67D29"/>
    <w:rsid w:val="00C7123B"/>
    <w:rsid w:val="00C75A8F"/>
    <w:rsid w:val="00C770E8"/>
    <w:rsid w:val="00C778A2"/>
    <w:rsid w:val="00C810DA"/>
    <w:rsid w:val="00C82337"/>
    <w:rsid w:val="00C83268"/>
    <w:rsid w:val="00C8503F"/>
    <w:rsid w:val="00C874ED"/>
    <w:rsid w:val="00C90080"/>
    <w:rsid w:val="00C9255B"/>
    <w:rsid w:val="00C934E4"/>
    <w:rsid w:val="00C95553"/>
    <w:rsid w:val="00C97648"/>
    <w:rsid w:val="00C97CEE"/>
    <w:rsid w:val="00CA117B"/>
    <w:rsid w:val="00CA1230"/>
    <w:rsid w:val="00CA5362"/>
    <w:rsid w:val="00CA5CE0"/>
    <w:rsid w:val="00CA62D9"/>
    <w:rsid w:val="00CA7290"/>
    <w:rsid w:val="00CB1436"/>
    <w:rsid w:val="00CB4CA8"/>
    <w:rsid w:val="00CB6230"/>
    <w:rsid w:val="00CC3061"/>
    <w:rsid w:val="00CC4827"/>
    <w:rsid w:val="00CC7DE3"/>
    <w:rsid w:val="00CD3A66"/>
    <w:rsid w:val="00CD3A97"/>
    <w:rsid w:val="00CD58AF"/>
    <w:rsid w:val="00CD5960"/>
    <w:rsid w:val="00CD689E"/>
    <w:rsid w:val="00CE1603"/>
    <w:rsid w:val="00CE1DE9"/>
    <w:rsid w:val="00CE3DBD"/>
    <w:rsid w:val="00CE421E"/>
    <w:rsid w:val="00CE5047"/>
    <w:rsid w:val="00CE5BE6"/>
    <w:rsid w:val="00CE6044"/>
    <w:rsid w:val="00CE6397"/>
    <w:rsid w:val="00CE695B"/>
    <w:rsid w:val="00CE6E29"/>
    <w:rsid w:val="00CF00FC"/>
    <w:rsid w:val="00CF0D90"/>
    <w:rsid w:val="00CF142C"/>
    <w:rsid w:val="00CF1EB9"/>
    <w:rsid w:val="00CF3D7D"/>
    <w:rsid w:val="00CF50A6"/>
    <w:rsid w:val="00D005BB"/>
    <w:rsid w:val="00D02D72"/>
    <w:rsid w:val="00D03247"/>
    <w:rsid w:val="00D032FF"/>
    <w:rsid w:val="00D04401"/>
    <w:rsid w:val="00D04788"/>
    <w:rsid w:val="00D0529A"/>
    <w:rsid w:val="00D07756"/>
    <w:rsid w:val="00D07E21"/>
    <w:rsid w:val="00D1067C"/>
    <w:rsid w:val="00D12EFD"/>
    <w:rsid w:val="00D1313B"/>
    <w:rsid w:val="00D137EA"/>
    <w:rsid w:val="00D14266"/>
    <w:rsid w:val="00D159E5"/>
    <w:rsid w:val="00D15EE2"/>
    <w:rsid w:val="00D16495"/>
    <w:rsid w:val="00D16860"/>
    <w:rsid w:val="00D174E8"/>
    <w:rsid w:val="00D1769C"/>
    <w:rsid w:val="00D212C2"/>
    <w:rsid w:val="00D24B0B"/>
    <w:rsid w:val="00D25272"/>
    <w:rsid w:val="00D26CA2"/>
    <w:rsid w:val="00D275A2"/>
    <w:rsid w:val="00D278B8"/>
    <w:rsid w:val="00D30A2A"/>
    <w:rsid w:val="00D31C6E"/>
    <w:rsid w:val="00D33101"/>
    <w:rsid w:val="00D33B50"/>
    <w:rsid w:val="00D3519A"/>
    <w:rsid w:val="00D371C6"/>
    <w:rsid w:val="00D37996"/>
    <w:rsid w:val="00D40139"/>
    <w:rsid w:val="00D406E8"/>
    <w:rsid w:val="00D412FC"/>
    <w:rsid w:val="00D4175D"/>
    <w:rsid w:val="00D438CD"/>
    <w:rsid w:val="00D43AEC"/>
    <w:rsid w:val="00D452F9"/>
    <w:rsid w:val="00D47C1A"/>
    <w:rsid w:val="00D50BB6"/>
    <w:rsid w:val="00D50DCF"/>
    <w:rsid w:val="00D54C2A"/>
    <w:rsid w:val="00D55A8A"/>
    <w:rsid w:val="00D61C44"/>
    <w:rsid w:val="00D61CA8"/>
    <w:rsid w:val="00D6257A"/>
    <w:rsid w:val="00D62CF9"/>
    <w:rsid w:val="00D62DDD"/>
    <w:rsid w:val="00D66736"/>
    <w:rsid w:val="00D71F10"/>
    <w:rsid w:val="00D736FF"/>
    <w:rsid w:val="00D739BF"/>
    <w:rsid w:val="00D75422"/>
    <w:rsid w:val="00D75838"/>
    <w:rsid w:val="00D77267"/>
    <w:rsid w:val="00D779DB"/>
    <w:rsid w:val="00D77A99"/>
    <w:rsid w:val="00D81FB6"/>
    <w:rsid w:val="00D82231"/>
    <w:rsid w:val="00D823CF"/>
    <w:rsid w:val="00D82A99"/>
    <w:rsid w:val="00D83E86"/>
    <w:rsid w:val="00D84F16"/>
    <w:rsid w:val="00D85001"/>
    <w:rsid w:val="00D86BBB"/>
    <w:rsid w:val="00D87841"/>
    <w:rsid w:val="00D87FC6"/>
    <w:rsid w:val="00D92639"/>
    <w:rsid w:val="00D926F4"/>
    <w:rsid w:val="00D936CA"/>
    <w:rsid w:val="00D943DD"/>
    <w:rsid w:val="00D948D6"/>
    <w:rsid w:val="00D96493"/>
    <w:rsid w:val="00DA0E74"/>
    <w:rsid w:val="00DA1E09"/>
    <w:rsid w:val="00DA3F4D"/>
    <w:rsid w:val="00DA7AA8"/>
    <w:rsid w:val="00DA7DCE"/>
    <w:rsid w:val="00DB1CAE"/>
    <w:rsid w:val="00DB25CD"/>
    <w:rsid w:val="00DB504D"/>
    <w:rsid w:val="00DB520D"/>
    <w:rsid w:val="00DB72B3"/>
    <w:rsid w:val="00DC0A0E"/>
    <w:rsid w:val="00DC1137"/>
    <w:rsid w:val="00DC192D"/>
    <w:rsid w:val="00DC2BF4"/>
    <w:rsid w:val="00DD2D21"/>
    <w:rsid w:val="00DD46A7"/>
    <w:rsid w:val="00DD5E59"/>
    <w:rsid w:val="00DE33D2"/>
    <w:rsid w:val="00DE4194"/>
    <w:rsid w:val="00DE4491"/>
    <w:rsid w:val="00DE561C"/>
    <w:rsid w:val="00DE689C"/>
    <w:rsid w:val="00DE790C"/>
    <w:rsid w:val="00DE79F1"/>
    <w:rsid w:val="00DF1250"/>
    <w:rsid w:val="00DF2136"/>
    <w:rsid w:val="00DF5C8C"/>
    <w:rsid w:val="00DF5EEB"/>
    <w:rsid w:val="00E039D2"/>
    <w:rsid w:val="00E05232"/>
    <w:rsid w:val="00E0685E"/>
    <w:rsid w:val="00E071E2"/>
    <w:rsid w:val="00E0738B"/>
    <w:rsid w:val="00E111AF"/>
    <w:rsid w:val="00E111DE"/>
    <w:rsid w:val="00E11ED8"/>
    <w:rsid w:val="00E11F76"/>
    <w:rsid w:val="00E172FB"/>
    <w:rsid w:val="00E203CC"/>
    <w:rsid w:val="00E20DB7"/>
    <w:rsid w:val="00E20E06"/>
    <w:rsid w:val="00E251D9"/>
    <w:rsid w:val="00E26339"/>
    <w:rsid w:val="00E268BF"/>
    <w:rsid w:val="00E26C65"/>
    <w:rsid w:val="00E27623"/>
    <w:rsid w:val="00E30519"/>
    <w:rsid w:val="00E31F0E"/>
    <w:rsid w:val="00E320A6"/>
    <w:rsid w:val="00E3498F"/>
    <w:rsid w:val="00E35A86"/>
    <w:rsid w:val="00E36485"/>
    <w:rsid w:val="00E40136"/>
    <w:rsid w:val="00E43525"/>
    <w:rsid w:val="00E47846"/>
    <w:rsid w:val="00E50063"/>
    <w:rsid w:val="00E51DD0"/>
    <w:rsid w:val="00E54A1D"/>
    <w:rsid w:val="00E54F09"/>
    <w:rsid w:val="00E555A9"/>
    <w:rsid w:val="00E55D66"/>
    <w:rsid w:val="00E567FB"/>
    <w:rsid w:val="00E5765A"/>
    <w:rsid w:val="00E57695"/>
    <w:rsid w:val="00E578E1"/>
    <w:rsid w:val="00E60514"/>
    <w:rsid w:val="00E67126"/>
    <w:rsid w:val="00E710A6"/>
    <w:rsid w:val="00E711C6"/>
    <w:rsid w:val="00E71373"/>
    <w:rsid w:val="00E717C6"/>
    <w:rsid w:val="00E7219D"/>
    <w:rsid w:val="00E7234C"/>
    <w:rsid w:val="00E73FEE"/>
    <w:rsid w:val="00E74EF7"/>
    <w:rsid w:val="00E814B5"/>
    <w:rsid w:val="00E839B4"/>
    <w:rsid w:val="00E8465F"/>
    <w:rsid w:val="00E85221"/>
    <w:rsid w:val="00E8655D"/>
    <w:rsid w:val="00E92CD1"/>
    <w:rsid w:val="00E94BA2"/>
    <w:rsid w:val="00E959E5"/>
    <w:rsid w:val="00E966A7"/>
    <w:rsid w:val="00E97476"/>
    <w:rsid w:val="00EA07F5"/>
    <w:rsid w:val="00EA63EC"/>
    <w:rsid w:val="00EB3291"/>
    <w:rsid w:val="00EC0428"/>
    <w:rsid w:val="00EC097F"/>
    <w:rsid w:val="00EC0EDB"/>
    <w:rsid w:val="00EC101B"/>
    <w:rsid w:val="00EC1E98"/>
    <w:rsid w:val="00EC2290"/>
    <w:rsid w:val="00EC2881"/>
    <w:rsid w:val="00EC38F0"/>
    <w:rsid w:val="00EC5DE4"/>
    <w:rsid w:val="00ED0697"/>
    <w:rsid w:val="00ED1A13"/>
    <w:rsid w:val="00ED1AF1"/>
    <w:rsid w:val="00ED2586"/>
    <w:rsid w:val="00ED3BAF"/>
    <w:rsid w:val="00ED3F1A"/>
    <w:rsid w:val="00ED56B9"/>
    <w:rsid w:val="00ED5D5B"/>
    <w:rsid w:val="00ED7B62"/>
    <w:rsid w:val="00EE3BCF"/>
    <w:rsid w:val="00EE45F4"/>
    <w:rsid w:val="00EE5336"/>
    <w:rsid w:val="00EE6FB6"/>
    <w:rsid w:val="00EE7C22"/>
    <w:rsid w:val="00EF44AC"/>
    <w:rsid w:val="00EF5A31"/>
    <w:rsid w:val="00EF61B5"/>
    <w:rsid w:val="00EF78B8"/>
    <w:rsid w:val="00EF7B9D"/>
    <w:rsid w:val="00F0049A"/>
    <w:rsid w:val="00F00514"/>
    <w:rsid w:val="00F0192F"/>
    <w:rsid w:val="00F019A2"/>
    <w:rsid w:val="00F02FA6"/>
    <w:rsid w:val="00F03674"/>
    <w:rsid w:val="00F036B5"/>
    <w:rsid w:val="00F03BC8"/>
    <w:rsid w:val="00F065F5"/>
    <w:rsid w:val="00F07D28"/>
    <w:rsid w:val="00F11412"/>
    <w:rsid w:val="00F126D9"/>
    <w:rsid w:val="00F12B84"/>
    <w:rsid w:val="00F21429"/>
    <w:rsid w:val="00F21D8E"/>
    <w:rsid w:val="00F31338"/>
    <w:rsid w:val="00F31A1D"/>
    <w:rsid w:val="00F35DEF"/>
    <w:rsid w:val="00F35FCB"/>
    <w:rsid w:val="00F369CC"/>
    <w:rsid w:val="00F37398"/>
    <w:rsid w:val="00F41700"/>
    <w:rsid w:val="00F41E1A"/>
    <w:rsid w:val="00F422CB"/>
    <w:rsid w:val="00F447C9"/>
    <w:rsid w:val="00F458D2"/>
    <w:rsid w:val="00F46636"/>
    <w:rsid w:val="00F512B4"/>
    <w:rsid w:val="00F5217C"/>
    <w:rsid w:val="00F527BD"/>
    <w:rsid w:val="00F52E8A"/>
    <w:rsid w:val="00F52F5F"/>
    <w:rsid w:val="00F56BD8"/>
    <w:rsid w:val="00F57E19"/>
    <w:rsid w:val="00F60494"/>
    <w:rsid w:val="00F609C1"/>
    <w:rsid w:val="00F643BA"/>
    <w:rsid w:val="00F64CC1"/>
    <w:rsid w:val="00F65BAA"/>
    <w:rsid w:val="00F662D7"/>
    <w:rsid w:val="00F66842"/>
    <w:rsid w:val="00F700BF"/>
    <w:rsid w:val="00F70C52"/>
    <w:rsid w:val="00F7182E"/>
    <w:rsid w:val="00F7350E"/>
    <w:rsid w:val="00F75166"/>
    <w:rsid w:val="00F76AAA"/>
    <w:rsid w:val="00F76C7A"/>
    <w:rsid w:val="00F778D9"/>
    <w:rsid w:val="00F82078"/>
    <w:rsid w:val="00F8208C"/>
    <w:rsid w:val="00F8337B"/>
    <w:rsid w:val="00F90E9F"/>
    <w:rsid w:val="00F941F5"/>
    <w:rsid w:val="00F9491F"/>
    <w:rsid w:val="00F94948"/>
    <w:rsid w:val="00F95A28"/>
    <w:rsid w:val="00F95C53"/>
    <w:rsid w:val="00F97D0F"/>
    <w:rsid w:val="00FA0270"/>
    <w:rsid w:val="00FA1E48"/>
    <w:rsid w:val="00FA3B56"/>
    <w:rsid w:val="00FA4323"/>
    <w:rsid w:val="00FA4651"/>
    <w:rsid w:val="00FA4DB3"/>
    <w:rsid w:val="00FA59D2"/>
    <w:rsid w:val="00FA6A22"/>
    <w:rsid w:val="00FA7826"/>
    <w:rsid w:val="00FB008A"/>
    <w:rsid w:val="00FB0F4E"/>
    <w:rsid w:val="00FB145C"/>
    <w:rsid w:val="00FB2C4C"/>
    <w:rsid w:val="00FB2E5F"/>
    <w:rsid w:val="00FB304C"/>
    <w:rsid w:val="00FB4221"/>
    <w:rsid w:val="00FB5526"/>
    <w:rsid w:val="00FC1A7F"/>
    <w:rsid w:val="00FC3FC3"/>
    <w:rsid w:val="00FC5184"/>
    <w:rsid w:val="00FC7B10"/>
    <w:rsid w:val="00FD09FB"/>
    <w:rsid w:val="00FD0E89"/>
    <w:rsid w:val="00FD1061"/>
    <w:rsid w:val="00FD2675"/>
    <w:rsid w:val="00FD4AF8"/>
    <w:rsid w:val="00FD4E7D"/>
    <w:rsid w:val="00FD5DF3"/>
    <w:rsid w:val="00FE0B26"/>
    <w:rsid w:val="00FE124C"/>
    <w:rsid w:val="00FE23AD"/>
    <w:rsid w:val="00FE4AAB"/>
    <w:rsid w:val="00FF2637"/>
    <w:rsid w:val="00FF2E8B"/>
    <w:rsid w:val="00FF7103"/>
    <w:rsid w:val="0522BCFC"/>
    <w:rsid w:val="0530534A"/>
    <w:rsid w:val="05B6089B"/>
    <w:rsid w:val="0707D6A2"/>
    <w:rsid w:val="07A01307"/>
    <w:rsid w:val="08787D38"/>
    <w:rsid w:val="0A746399"/>
    <w:rsid w:val="0D12E536"/>
    <w:rsid w:val="0DEA11BE"/>
    <w:rsid w:val="11215719"/>
    <w:rsid w:val="1233351A"/>
    <w:rsid w:val="13C80232"/>
    <w:rsid w:val="1409B749"/>
    <w:rsid w:val="14D8C580"/>
    <w:rsid w:val="16560F13"/>
    <w:rsid w:val="16734C6E"/>
    <w:rsid w:val="16C99B91"/>
    <w:rsid w:val="1865E19F"/>
    <w:rsid w:val="189300EC"/>
    <w:rsid w:val="1BC6FEC3"/>
    <w:rsid w:val="1CEE67E9"/>
    <w:rsid w:val="1F92EA6E"/>
    <w:rsid w:val="20AD4205"/>
    <w:rsid w:val="214355C3"/>
    <w:rsid w:val="24F68CBC"/>
    <w:rsid w:val="258712FE"/>
    <w:rsid w:val="28DD4575"/>
    <w:rsid w:val="29671054"/>
    <w:rsid w:val="296EAEB4"/>
    <w:rsid w:val="2CEA5253"/>
    <w:rsid w:val="2E867C7D"/>
    <w:rsid w:val="324BAA65"/>
    <w:rsid w:val="333BA7AD"/>
    <w:rsid w:val="3540E6EC"/>
    <w:rsid w:val="356141E2"/>
    <w:rsid w:val="3C3FD7CA"/>
    <w:rsid w:val="3DBD55CA"/>
    <w:rsid w:val="3E4743A8"/>
    <w:rsid w:val="3E92E603"/>
    <w:rsid w:val="3EBF5E3C"/>
    <w:rsid w:val="3F0DBCCA"/>
    <w:rsid w:val="40475DEE"/>
    <w:rsid w:val="41C1E220"/>
    <w:rsid w:val="42BAAC5F"/>
    <w:rsid w:val="45099940"/>
    <w:rsid w:val="45CE63C8"/>
    <w:rsid w:val="46124DE8"/>
    <w:rsid w:val="47259A15"/>
    <w:rsid w:val="47A69D20"/>
    <w:rsid w:val="47CC348E"/>
    <w:rsid w:val="4C61F28C"/>
    <w:rsid w:val="50ECCC6B"/>
    <w:rsid w:val="52D53E21"/>
    <w:rsid w:val="53A861FE"/>
    <w:rsid w:val="542F48E7"/>
    <w:rsid w:val="54C19442"/>
    <w:rsid w:val="55F2BC22"/>
    <w:rsid w:val="57156F43"/>
    <w:rsid w:val="5A267B27"/>
    <w:rsid w:val="5CC99B24"/>
    <w:rsid w:val="5CE2AB07"/>
    <w:rsid w:val="5CE2D9D6"/>
    <w:rsid w:val="5D326EEC"/>
    <w:rsid w:val="5E6F437C"/>
    <w:rsid w:val="5F7021D0"/>
    <w:rsid w:val="5FA2FF3E"/>
    <w:rsid w:val="6114DF18"/>
    <w:rsid w:val="6318662E"/>
    <w:rsid w:val="642BE94B"/>
    <w:rsid w:val="6466EB23"/>
    <w:rsid w:val="64FD060B"/>
    <w:rsid w:val="67409C58"/>
    <w:rsid w:val="68263F2D"/>
    <w:rsid w:val="68EFDC80"/>
    <w:rsid w:val="697C5877"/>
    <w:rsid w:val="69B25813"/>
    <w:rsid w:val="69C74ADC"/>
    <w:rsid w:val="6AD4659A"/>
    <w:rsid w:val="6CE0E54A"/>
    <w:rsid w:val="712112A7"/>
    <w:rsid w:val="712424E9"/>
    <w:rsid w:val="73EF959D"/>
    <w:rsid w:val="74DA7C38"/>
    <w:rsid w:val="75A5E995"/>
    <w:rsid w:val="75F692EB"/>
    <w:rsid w:val="7712E72C"/>
    <w:rsid w:val="7735F427"/>
    <w:rsid w:val="777CE614"/>
    <w:rsid w:val="77EE2646"/>
    <w:rsid w:val="7A47B9B3"/>
    <w:rsid w:val="7D7891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48FF7C"/>
  <w15:docId w15:val="{4599BA40-C509-426C-A425-1F67FCF09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uiPriority="99"/>
    <w:lsdException w:name="List Continue 3" w:uiPriority="99"/>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03F"/>
  </w:style>
  <w:style w:type="paragraph" w:styleId="Heading1">
    <w:name w:val="heading 1"/>
    <w:basedOn w:val="Normal"/>
    <w:next w:val="Normal"/>
    <w:qFormat/>
    <w:pPr>
      <w:keepNext/>
      <w:spacing w:after="10"/>
      <w:jc w:val="right"/>
      <w:outlineLvl w:val="0"/>
    </w:pPr>
    <w:rPr>
      <w:b/>
      <w:sz w:val="15"/>
    </w:rPr>
  </w:style>
  <w:style w:type="paragraph" w:styleId="Heading2">
    <w:name w:val="heading 2"/>
    <w:basedOn w:val="Normal"/>
    <w:next w:val="Normal"/>
    <w:qFormat/>
    <w:pPr>
      <w:keepNext/>
      <w:spacing w:after="4"/>
      <w:jc w:val="right"/>
      <w:outlineLvl w:val="1"/>
    </w:pPr>
    <w:rPr>
      <w:b/>
      <w:sz w:val="17"/>
    </w:rPr>
  </w:style>
  <w:style w:type="paragraph" w:styleId="Heading3">
    <w:name w:val="heading 3"/>
    <w:basedOn w:val="Normal"/>
    <w:next w:val="Normal"/>
    <w:link w:val="Heading3Char"/>
    <w:qFormat/>
    <w:pPr>
      <w:keepNext/>
      <w:outlineLvl w:val="2"/>
    </w:pPr>
    <w:rPr>
      <w:b/>
      <w:i/>
      <w:sz w:val="72"/>
    </w:rPr>
  </w:style>
  <w:style w:type="paragraph" w:styleId="Heading4">
    <w:name w:val="heading 4"/>
    <w:basedOn w:val="Normal"/>
    <w:next w:val="Normal"/>
    <w:qFormat/>
    <w:pPr>
      <w:keepNext/>
      <w:pBdr>
        <w:left w:val="single" w:sz="4" w:space="4" w:color="auto"/>
        <w:bottom w:val="single" w:sz="4" w:space="1" w:color="auto"/>
        <w:right w:val="single" w:sz="4" w:space="4" w:color="auto"/>
      </w:pBdr>
      <w:outlineLvl w:val="3"/>
    </w:pPr>
    <w:rPr>
      <w:b/>
      <w:spacing w:val="20"/>
      <w:sz w:val="17"/>
    </w:rPr>
  </w:style>
  <w:style w:type="paragraph" w:styleId="Heading5">
    <w:name w:val="heading 5"/>
    <w:basedOn w:val="Normal"/>
    <w:next w:val="Normal"/>
    <w:link w:val="Heading5Char"/>
    <w:semiHidden/>
    <w:unhideWhenUsed/>
    <w:qFormat/>
    <w:rsid w:val="005920D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lockText">
    <w:name w:val="Block Text"/>
    <w:basedOn w:val="Normal"/>
    <w:rsid w:val="00192BAD"/>
    <w:pPr>
      <w:ind w:left="900" w:right="-720"/>
      <w:jc w:val="both"/>
    </w:pPr>
    <w:rPr>
      <w:sz w:val="24"/>
    </w:rPr>
  </w:style>
  <w:style w:type="paragraph" w:styleId="FootnoteText">
    <w:name w:val="footnote text"/>
    <w:basedOn w:val="Normal"/>
    <w:link w:val="FootnoteTextChar"/>
    <w:rsid w:val="00D75422"/>
    <w:rPr>
      <w:rFonts w:eastAsia="Times New Roman"/>
    </w:rPr>
  </w:style>
  <w:style w:type="character" w:styleId="FootnoteReference">
    <w:name w:val="footnote reference"/>
    <w:qFormat/>
    <w:rsid w:val="00D75422"/>
    <w:rPr>
      <w:vertAlign w:val="superscript"/>
    </w:rPr>
  </w:style>
  <w:style w:type="character" w:customStyle="1" w:styleId="xesmall1">
    <w:name w:val="xesmall1"/>
    <w:rsid w:val="00D75422"/>
    <w:rPr>
      <w:color w:val="666666"/>
      <w:sz w:val="23"/>
      <w:szCs w:val="23"/>
    </w:rPr>
  </w:style>
  <w:style w:type="character" w:styleId="PageNumber">
    <w:name w:val="page number"/>
    <w:basedOn w:val="DefaultParagraphFont"/>
    <w:rsid w:val="00D75422"/>
  </w:style>
  <w:style w:type="character" w:styleId="Emphasis">
    <w:name w:val="Emphasis"/>
    <w:uiPriority w:val="20"/>
    <w:qFormat/>
    <w:rsid w:val="009E5B1B"/>
    <w:rPr>
      <w:b/>
      <w:bCs/>
      <w:i w:val="0"/>
      <w:iCs w:val="0"/>
    </w:rPr>
  </w:style>
  <w:style w:type="paragraph" w:styleId="BalloonText">
    <w:name w:val="Balloon Text"/>
    <w:basedOn w:val="Normal"/>
    <w:link w:val="BalloonTextChar"/>
    <w:rsid w:val="00C22D25"/>
    <w:rPr>
      <w:rFonts w:ascii="Tahoma" w:hAnsi="Tahoma" w:cs="Tahoma"/>
      <w:sz w:val="16"/>
      <w:szCs w:val="16"/>
    </w:rPr>
  </w:style>
  <w:style w:type="character" w:customStyle="1" w:styleId="BalloonTextChar">
    <w:name w:val="Balloon Text Char"/>
    <w:link w:val="BalloonText"/>
    <w:rsid w:val="00C22D25"/>
    <w:rPr>
      <w:rFonts w:ascii="Tahoma" w:hAnsi="Tahoma" w:cs="Tahoma"/>
      <w:sz w:val="16"/>
      <w:szCs w:val="16"/>
    </w:rPr>
  </w:style>
  <w:style w:type="paragraph" w:styleId="ListParagraph">
    <w:name w:val="List Paragraph"/>
    <w:basedOn w:val="Normal"/>
    <w:uiPriority w:val="34"/>
    <w:qFormat/>
    <w:rsid w:val="005904A8"/>
    <w:pPr>
      <w:ind w:left="720"/>
      <w:contextualSpacing/>
    </w:pPr>
  </w:style>
  <w:style w:type="paragraph" w:customStyle="1" w:styleId="BasicParagraph">
    <w:name w:val="[Basic Paragraph]"/>
    <w:basedOn w:val="Normal"/>
    <w:rsid w:val="00A078CD"/>
    <w:pPr>
      <w:autoSpaceDE w:val="0"/>
      <w:autoSpaceDN w:val="0"/>
      <w:adjustRightInd w:val="0"/>
      <w:spacing w:line="288" w:lineRule="auto"/>
      <w:textAlignment w:val="center"/>
    </w:pPr>
    <w:rPr>
      <w:rFonts w:eastAsia="Times New Roman"/>
      <w:color w:val="000000"/>
      <w:sz w:val="24"/>
      <w:szCs w:val="24"/>
    </w:rPr>
  </w:style>
  <w:style w:type="character" w:customStyle="1" w:styleId="FootnoteTextChar">
    <w:name w:val="Footnote Text Char"/>
    <w:basedOn w:val="DefaultParagraphFont"/>
    <w:link w:val="FootnoteText"/>
    <w:rsid w:val="00A078CD"/>
    <w:rPr>
      <w:rFonts w:eastAsia="Times New Roman"/>
    </w:rPr>
  </w:style>
  <w:style w:type="character" w:customStyle="1" w:styleId="HeaderChar">
    <w:name w:val="Header Char"/>
    <w:basedOn w:val="DefaultParagraphFont"/>
    <w:link w:val="Header"/>
    <w:rsid w:val="00A078CD"/>
  </w:style>
  <w:style w:type="character" w:customStyle="1" w:styleId="FooterChar">
    <w:name w:val="Footer Char"/>
    <w:basedOn w:val="DefaultParagraphFont"/>
    <w:link w:val="Footer"/>
    <w:rsid w:val="00A078CD"/>
  </w:style>
  <w:style w:type="character" w:customStyle="1" w:styleId="Heading5Char">
    <w:name w:val="Heading 5 Char"/>
    <w:basedOn w:val="DefaultParagraphFont"/>
    <w:link w:val="Heading5"/>
    <w:semiHidden/>
    <w:rsid w:val="005920DE"/>
    <w:rPr>
      <w:rFonts w:asciiTheme="majorHAnsi" w:eastAsiaTheme="majorEastAsia" w:hAnsiTheme="majorHAnsi" w:cstheme="majorBidi"/>
      <w:color w:val="243F60" w:themeColor="accent1" w:themeShade="7F"/>
    </w:rPr>
  </w:style>
  <w:style w:type="character" w:customStyle="1" w:styleId="Heading3Char">
    <w:name w:val="Heading 3 Char"/>
    <w:basedOn w:val="DefaultParagraphFont"/>
    <w:link w:val="Heading3"/>
    <w:rsid w:val="005920DE"/>
    <w:rPr>
      <w:b/>
      <w:i/>
      <w:sz w:val="72"/>
    </w:rPr>
  </w:style>
  <w:style w:type="table" w:styleId="TableGrid">
    <w:name w:val="Table Grid"/>
    <w:basedOn w:val="TableNormal"/>
    <w:rsid w:val="005920D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06495"/>
    <w:rPr>
      <w:rFonts w:eastAsia="Times New Roman"/>
      <w:sz w:val="24"/>
    </w:rPr>
  </w:style>
  <w:style w:type="character" w:customStyle="1" w:styleId="BodyText2Char">
    <w:name w:val="Body Text 2 Char"/>
    <w:basedOn w:val="DefaultParagraphFont"/>
    <w:link w:val="BodyText2"/>
    <w:rsid w:val="00606495"/>
    <w:rPr>
      <w:rFonts w:eastAsia="Times New Roman"/>
      <w:sz w:val="24"/>
    </w:rPr>
  </w:style>
  <w:style w:type="paragraph" w:styleId="ListContinue">
    <w:name w:val="List Continue"/>
    <w:basedOn w:val="Normal"/>
    <w:rsid w:val="00473CC6"/>
    <w:pPr>
      <w:spacing w:after="220"/>
      <w:jc w:val="both"/>
    </w:pPr>
    <w:rPr>
      <w:rFonts w:eastAsia="Times New Roman"/>
      <w:sz w:val="22"/>
    </w:rPr>
  </w:style>
  <w:style w:type="paragraph" w:customStyle="1" w:styleId="Default">
    <w:name w:val="Default"/>
    <w:rsid w:val="00E7234C"/>
    <w:pPr>
      <w:autoSpaceDE w:val="0"/>
      <w:autoSpaceDN w:val="0"/>
      <w:adjustRightInd w:val="0"/>
    </w:pPr>
    <w:rPr>
      <w:rFonts w:eastAsia="Times New Roman"/>
      <w:color w:val="000000"/>
      <w:sz w:val="24"/>
      <w:szCs w:val="24"/>
    </w:rPr>
  </w:style>
  <w:style w:type="paragraph" w:customStyle="1" w:styleId="ArialIndent1">
    <w:name w:val="Arial Indent 1&quot;"/>
    <w:basedOn w:val="Normal"/>
    <w:rsid w:val="00D50BB6"/>
    <w:pPr>
      <w:spacing w:after="220"/>
      <w:ind w:left="1440"/>
      <w:jc w:val="both"/>
      <w:outlineLvl w:val="0"/>
    </w:pPr>
    <w:rPr>
      <w:rFonts w:ascii="Arial" w:eastAsia="Times New Roman" w:hAnsi="Arial"/>
    </w:rPr>
  </w:style>
  <w:style w:type="paragraph" w:styleId="ListNumber">
    <w:name w:val="List Number"/>
    <w:basedOn w:val="Normal"/>
    <w:rsid w:val="00D50BB6"/>
    <w:pPr>
      <w:contextualSpacing/>
    </w:pPr>
  </w:style>
  <w:style w:type="character" w:styleId="CommentReference">
    <w:name w:val="annotation reference"/>
    <w:basedOn w:val="DefaultParagraphFont"/>
    <w:rsid w:val="00ED1A13"/>
    <w:rPr>
      <w:sz w:val="16"/>
      <w:szCs w:val="16"/>
    </w:rPr>
  </w:style>
  <w:style w:type="paragraph" w:styleId="CommentText">
    <w:name w:val="annotation text"/>
    <w:basedOn w:val="Normal"/>
    <w:link w:val="CommentTextChar"/>
    <w:rsid w:val="00ED1A13"/>
  </w:style>
  <w:style w:type="character" w:customStyle="1" w:styleId="CommentTextChar">
    <w:name w:val="Comment Text Char"/>
    <w:basedOn w:val="DefaultParagraphFont"/>
    <w:link w:val="CommentText"/>
    <w:rsid w:val="00ED1A13"/>
  </w:style>
  <w:style w:type="paragraph" w:styleId="CommentSubject">
    <w:name w:val="annotation subject"/>
    <w:basedOn w:val="CommentText"/>
    <w:next w:val="CommentText"/>
    <w:link w:val="CommentSubjectChar"/>
    <w:rsid w:val="00ED1A13"/>
    <w:rPr>
      <w:b/>
      <w:bCs/>
    </w:rPr>
  </w:style>
  <w:style w:type="character" w:customStyle="1" w:styleId="CommentSubjectChar">
    <w:name w:val="Comment Subject Char"/>
    <w:basedOn w:val="CommentTextChar"/>
    <w:link w:val="CommentSubject"/>
    <w:rsid w:val="00ED1A13"/>
    <w:rPr>
      <w:b/>
      <w:bCs/>
    </w:rPr>
  </w:style>
  <w:style w:type="paragraph" w:styleId="Revision">
    <w:name w:val="Revision"/>
    <w:hidden/>
    <w:uiPriority w:val="99"/>
    <w:semiHidden/>
    <w:rsid w:val="00FA1E48"/>
  </w:style>
  <w:style w:type="paragraph" w:styleId="BodyText">
    <w:name w:val="Body Text"/>
    <w:basedOn w:val="Normal"/>
    <w:link w:val="BodyTextChar"/>
    <w:rsid w:val="00CF142C"/>
    <w:pPr>
      <w:spacing w:after="120"/>
    </w:pPr>
  </w:style>
  <w:style w:type="character" w:customStyle="1" w:styleId="BodyTextChar">
    <w:name w:val="Body Text Char"/>
    <w:basedOn w:val="DefaultParagraphFont"/>
    <w:link w:val="BodyText"/>
    <w:rsid w:val="00CF142C"/>
  </w:style>
  <w:style w:type="paragraph" w:styleId="ListNumber2">
    <w:name w:val="List Number 2"/>
    <w:basedOn w:val="Normal"/>
    <w:rsid w:val="0093572B"/>
    <w:pPr>
      <w:numPr>
        <w:numId w:val="1"/>
      </w:numPr>
      <w:contextualSpacing/>
    </w:pPr>
  </w:style>
  <w:style w:type="paragraph" w:styleId="BodyText3">
    <w:name w:val="Body Text 3"/>
    <w:basedOn w:val="Normal"/>
    <w:link w:val="BodyText3Char"/>
    <w:rsid w:val="0093572B"/>
    <w:pPr>
      <w:spacing w:after="120"/>
    </w:pPr>
    <w:rPr>
      <w:sz w:val="16"/>
      <w:szCs w:val="16"/>
    </w:rPr>
  </w:style>
  <w:style w:type="character" w:customStyle="1" w:styleId="BodyText3Char">
    <w:name w:val="Body Text 3 Char"/>
    <w:basedOn w:val="DefaultParagraphFont"/>
    <w:link w:val="BodyText3"/>
    <w:rsid w:val="0093572B"/>
    <w:rPr>
      <w:sz w:val="16"/>
      <w:szCs w:val="16"/>
    </w:rPr>
  </w:style>
  <w:style w:type="paragraph" w:styleId="ListContinue2">
    <w:name w:val="List Continue 2"/>
    <w:basedOn w:val="Normal"/>
    <w:uiPriority w:val="99"/>
    <w:unhideWhenUsed/>
    <w:rsid w:val="0093572B"/>
    <w:pPr>
      <w:spacing w:after="120"/>
      <w:ind w:left="720"/>
      <w:contextualSpacing/>
    </w:pPr>
    <w:rPr>
      <w:rFonts w:eastAsia="Times New Roman"/>
    </w:rPr>
  </w:style>
  <w:style w:type="paragraph" w:styleId="ListContinue3">
    <w:name w:val="List Continue 3"/>
    <w:basedOn w:val="Normal"/>
    <w:uiPriority w:val="99"/>
    <w:unhideWhenUsed/>
    <w:rsid w:val="0093572B"/>
    <w:pPr>
      <w:spacing w:after="120"/>
      <w:ind w:left="1080"/>
      <w:contextualSpacing/>
    </w:pPr>
    <w:rPr>
      <w:rFonts w:eastAsia="Times New Roman"/>
    </w:rPr>
  </w:style>
  <w:style w:type="character" w:customStyle="1" w:styleId="UnresolvedMention1">
    <w:name w:val="Unresolved Mention1"/>
    <w:basedOn w:val="DefaultParagraphFont"/>
    <w:uiPriority w:val="99"/>
    <w:semiHidden/>
    <w:unhideWhenUsed/>
    <w:rsid w:val="00A47964"/>
    <w:rPr>
      <w:color w:val="605E5C"/>
      <w:shd w:val="clear" w:color="auto" w:fill="E1DFDD"/>
    </w:rPr>
  </w:style>
  <w:style w:type="character" w:styleId="UnresolvedMention">
    <w:name w:val="Unresolved Mention"/>
    <w:basedOn w:val="DefaultParagraphFont"/>
    <w:uiPriority w:val="99"/>
    <w:semiHidden/>
    <w:unhideWhenUsed/>
    <w:rsid w:val="00B47FCB"/>
    <w:rPr>
      <w:color w:val="605E5C"/>
      <w:shd w:val="clear" w:color="auto" w:fill="E1DFDD"/>
    </w:rPr>
  </w:style>
  <w:style w:type="paragraph" w:customStyle="1" w:styleId="ListContinued">
    <w:name w:val="List Continued"/>
    <w:basedOn w:val="Normal"/>
    <w:qFormat/>
    <w:rsid w:val="00426060"/>
    <w:pPr>
      <w:numPr>
        <w:numId w:val="16"/>
      </w:numPr>
      <w:spacing w:after="220"/>
      <w:jc w:val="both"/>
    </w:pPr>
    <w:rPr>
      <w:rFonts w:ascii="Times" w:eastAsia="Times New Roman" w:hAnsi="Time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414">
      <w:bodyDiv w:val="1"/>
      <w:marLeft w:val="0"/>
      <w:marRight w:val="0"/>
      <w:marTop w:val="0"/>
      <w:marBottom w:val="0"/>
      <w:divBdr>
        <w:top w:val="none" w:sz="0" w:space="0" w:color="auto"/>
        <w:left w:val="none" w:sz="0" w:space="0" w:color="auto"/>
        <w:bottom w:val="none" w:sz="0" w:space="0" w:color="auto"/>
        <w:right w:val="none" w:sz="0" w:space="0" w:color="auto"/>
      </w:divBdr>
    </w:div>
    <w:div w:id="261845008">
      <w:bodyDiv w:val="1"/>
      <w:marLeft w:val="0"/>
      <w:marRight w:val="0"/>
      <w:marTop w:val="0"/>
      <w:marBottom w:val="0"/>
      <w:divBdr>
        <w:top w:val="none" w:sz="0" w:space="0" w:color="auto"/>
        <w:left w:val="none" w:sz="0" w:space="0" w:color="auto"/>
        <w:bottom w:val="none" w:sz="0" w:space="0" w:color="auto"/>
        <w:right w:val="none" w:sz="0" w:space="0" w:color="auto"/>
      </w:divBdr>
    </w:div>
    <w:div w:id="294485952">
      <w:bodyDiv w:val="1"/>
      <w:marLeft w:val="0"/>
      <w:marRight w:val="0"/>
      <w:marTop w:val="0"/>
      <w:marBottom w:val="0"/>
      <w:divBdr>
        <w:top w:val="none" w:sz="0" w:space="0" w:color="auto"/>
        <w:left w:val="none" w:sz="0" w:space="0" w:color="auto"/>
        <w:bottom w:val="none" w:sz="0" w:space="0" w:color="auto"/>
        <w:right w:val="none" w:sz="0" w:space="0" w:color="auto"/>
      </w:divBdr>
    </w:div>
    <w:div w:id="339937522">
      <w:bodyDiv w:val="1"/>
      <w:marLeft w:val="0"/>
      <w:marRight w:val="0"/>
      <w:marTop w:val="0"/>
      <w:marBottom w:val="0"/>
      <w:divBdr>
        <w:top w:val="none" w:sz="0" w:space="0" w:color="auto"/>
        <w:left w:val="none" w:sz="0" w:space="0" w:color="auto"/>
        <w:bottom w:val="none" w:sz="0" w:space="0" w:color="auto"/>
        <w:right w:val="none" w:sz="0" w:space="0" w:color="auto"/>
      </w:divBdr>
    </w:div>
    <w:div w:id="533426092">
      <w:bodyDiv w:val="1"/>
      <w:marLeft w:val="0"/>
      <w:marRight w:val="0"/>
      <w:marTop w:val="0"/>
      <w:marBottom w:val="0"/>
      <w:divBdr>
        <w:top w:val="none" w:sz="0" w:space="0" w:color="auto"/>
        <w:left w:val="none" w:sz="0" w:space="0" w:color="auto"/>
        <w:bottom w:val="none" w:sz="0" w:space="0" w:color="auto"/>
        <w:right w:val="none" w:sz="0" w:space="0" w:color="auto"/>
      </w:divBdr>
    </w:div>
    <w:div w:id="979846967">
      <w:bodyDiv w:val="1"/>
      <w:marLeft w:val="0"/>
      <w:marRight w:val="0"/>
      <w:marTop w:val="0"/>
      <w:marBottom w:val="0"/>
      <w:divBdr>
        <w:top w:val="none" w:sz="0" w:space="0" w:color="auto"/>
        <w:left w:val="none" w:sz="0" w:space="0" w:color="auto"/>
        <w:bottom w:val="none" w:sz="0" w:space="0" w:color="auto"/>
        <w:right w:val="none" w:sz="0" w:space="0" w:color="auto"/>
      </w:divBdr>
    </w:div>
    <w:div w:id="1032806538">
      <w:bodyDiv w:val="1"/>
      <w:marLeft w:val="0"/>
      <w:marRight w:val="0"/>
      <w:marTop w:val="0"/>
      <w:marBottom w:val="0"/>
      <w:divBdr>
        <w:top w:val="none" w:sz="0" w:space="0" w:color="auto"/>
        <w:left w:val="none" w:sz="0" w:space="0" w:color="auto"/>
        <w:bottom w:val="none" w:sz="0" w:space="0" w:color="auto"/>
        <w:right w:val="none" w:sz="0" w:space="0" w:color="auto"/>
      </w:divBdr>
    </w:div>
    <w:div w:id="1198741728">
      <w:bodyDiv w:val="1"/>
      <w:marLeft w:val="0"/>
      <w:marRight w:val="0"/>
      <w:marTop w:val="0"/>
      <w:marBottom w:val="0"/>
      <w:divBdr>
        <w:top w:val="none" w:sz="0" w:space="0" w:color="auto"/>
        <w:left w:val="none" w:sz="0" w:space="0" w:color="auto"/>
        <w:bottom w:val="none" w:sz="0" w:space="0" w:color="auto"/>
        <w:right w:val="none" w:sz="0" w:space="0" w:color="auto"/>
      </w:divBdr>
    </w:div>
    <w:div w:id="1311712882">
      <w:bodyDiv w:val="1"/>
      <w:marLeft w:val="0"/>
      <w:marRight w:val="0"/>
      <w:marTop w:val="0"/>
      <w:marBottom w:val="0"/>
      <w:divBdr>
        <w:top w:val="none" w:sz="0" w:space="0" w:color="auto"/>
        <w:left w:val="none" w:sz="0" w:space="0" w:color="auto"/>
        <w:bottom w:val="none" w:sz="0" w:space="0" w:color="auto"/>
        <w:right w:val="none" w:sz="0" w:space="0" w:color="auto"/>
      </w:divBdr>
    </w:div>
    <w:div w:id="1944803622">
      <w:bodyDiv w:val="1"/>
      <w:marLeft w:val="0"/>
      <w:marRight w:val="0"/>
      <w:marTop w:val="0"/>
      <w:marBottom w:val="0"/>
      <w:divBdr>
        <w:top w:val="none" w:sz="0" w:space="0" w:color="auto"/>
        <w:left w:val="none" w:sz="0" w:space="0" w:color="auto"/>
        <w:bottom w:val="none" w:sz="0" w:space="0" w:color="auto"/>
        <w:right w:val="none" w:sz="0" w:space="0" w:color="auto"/>
      </w:divBdr>
    </w:div>
    <w:div w:id="1999192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pinegar@naic.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79EFA-5251-44A1-9B70-89FBE3D3579C}">
  <ds:schemaRefs>
    <ds:schemaRef ds:uri="http://schemas.microsoft.com/office/2006/metadata/properties"/>
    <ds:schemaRef ds:uri="http://schemas.microsoft.com/office/infopath/2007/PartnerControls"/>
    <ds:schemaRef ds:uri="dbd46520-c392-41b5-9f68-fe7486eefad7"/>
    <ds:schemaRef ds:uri="3c9e15a3-223f-4584-afb1-1dbe0b3878fa"/>
  </ds:schemaRefs>
</ds:datastoreItem>
</file>

<file path=customXml/itemProps2.xml><?xml version="1.0" encoding="utf-8"?>
<ds:datastoreItem xmlns:ds="http://schemas.openxmlformats.org/officeDocument/2006/customXml" ds:itemID="{F991577F-5269-46B3-8075-8EECA6D22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15E725-C4BE-47BD-A204-D328579857CD}">
  <ds:schemaRefs>
    <ds:schemaRef ds:uri="http://schemas.openxmlformats.org/officeDocument/2006/bibliography"/>
  </ds:schemaRefs>
</ds:datastoreItem>
</file>

<file path=customXml/itemProps4.xml><?xml version="1.0" encoding="utf-8"?>
<ds:datastoreItem xmlns:ds="http://schemas.openxmlformats.org/officeDocument/2006/customXml" ds:itemID="{8490F35C-AA4E-45CB-A310-3DCCCFE9D980}">
  <ds:schemaRefs>
    <ds:schemaRef ds:uri="http://schemas.microsoft.com/sharepoint/v3/contenttype/forms"/>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1131</Words>
  <Characters>7425</Characters>
  <Application>Microsoft Office Word</Application>
  <DocSecurity>0</DocSecurity>
  <Lines>95</Lines>
  <Paragraphs>25</Paragraphs>
  <ScaleCrop>false</ScaleCrop>
  <Company>NAIC</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Wilkinson, Jeremy</dc:creator>
  <cp:keywords/>
  <cp:lastModifiedBy>Braun, Monica</cp:lastModifiedBy>
  <cp:revision>55</cp:revision>
  <cp:lastPrinted>2026-07-27T18:16:00Z</cp:lastPrinted>
  <dcterms:created xsi:type="dcterms:W3CDTF">2026-06-17T18:14:00Z</dcterms:created>
  <dcterms:modified xsi:type="dcterms:W3CDTF">2026-07-27T18:16:00Z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0x010100DD0FEDF019004E4AB00FDE98BFC1B847</vt:lpwstr>
  </property>
  <property fmtid="{D5CDD505-2E9C-101B-9397-08002B2CF9AE}" pid="4" name="docLang">
    <vt:lpwstr>en</vt:lpwstr>
  </property>
  <property fmtid="{D5CDD505-2E9C-101B-9397-08002B2CF9AE}" pid="5" name="MediaServiceImageTags">
    <vt:lpwstr/>
  </property>
</Properties>
</file>